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color w:val="000000"/>
          <w:sz w:val="52"/>
          <w:szCs w:val="52"/>
        </w:rPr>
      </w:pPr>
      <w:r>
        <w:rPr>
          <w:rFonts w:hint="eastAsia" w:ascii="黑体" w:hAnsi="黑体" w:eastAsia="黑体"/>
          <w:b/>
          <w:color w:val="000000"/>
          <w:sz w:val="52"/>
          <w:szCs w:val="52"/>
        </w:rPr>
        <w:t>政府采购项目</w:t>
      </w:r>
    </w:p>
    <w:p>
      <w:pPr>
        <w:jc w:val="center"/>
        <w:rPr>
          <w:rFonts w:ascii="黑体" w:hAnsi="黑体" w:eastAsia="黑体"/>
          <w:b/>
          <w:color w:val="000000"/>
          <w:sz w:val="52"/>
          <w:szCs w:val="52"/>
        </w:rPr>
      </w:pPr>
    </w:p>
    <w:p>
      <w:pPr>
        <w:jc w:val="center"/>
        <w:rPr>
          <w:rFonts w:ascii="黑体" w:hAnsi="黑体" w:eastAsia="黑体"/>
          <w:b/>
          <w:bCs/>
          <w:color w:val="000000"/>
          <w:sz w:val="52"/>
          <w:szCs w:val="52"/>
        </w:rPr>
      </w:pPr>
      <w:r>
        <w:rPr>
          <w:rFonts w:hint="eastAsia" w:ascii="黑体" w:hAnsi="黑体" w:eastAsia="黑体"/>
          <w:b/>
          <w:bCs/>
          <w:color w:val="000000"/>
          <w:sz w:val="52"/>
          <w:szCs w:val="52"/>
        </w:rPr>
        <w:t>政府采购委托代理协议</w:t>
      </w:r>
    </w:p>
    <w:p>
      <w:pPr>
        <w:jc w:val="center"/>
        <w:rPr>
          <w:rFonts w:ascii="黑体" w:hAnsi="宋体" w:eastAsia="黑体"/>
          <w:color w:val="000000"/>
          <w:sz w:val="44"/>
          <w:szCs w:val="44"/>
        </w:rPr>
      </w:pPr>
    </w:p>
    <w:p>
      <w:pPr>
        <w:jc w:val="center"/>
        <w:rPr>
          <w:rFonts w:ascii="黑体" w:hAnsi="宋体" w:eastAsia="黑体"/>
          <w:color w:val="000000"/>
          <w:sz w:val="44"/>
          <w:szCs w:val="44"/>
        </w:rPr>
      </w:pPr>
    </w:p>
    <w:p>
      <w:pPr>
        <w:jc w:val="center"/>
        <w:rPr>
          <w:rFonts w:ascii="黑体" w:hAnsi="宋体" w:eastAsia="黑体"/>
          <w:color w:val="000000"/>
          <w:sz w:val="44"/>
          <w:szCs w:val="44"/>
        </w:rPr>
      </w:pPr>
    </w:p>
    <w:p>
      <w:pPr>
        <w:jc w:val="center"/>
        <w:rPr>
          <w:rFonts w:ascii="黑体" w:hAnsi="宋体" w:eastAsia="黑体"/>
          <w:color w:val="000000"/>
          <w:sz w:val="44"/>
          <w:szCs w:val="44"/>
        </w:rPr>
      </w:pPr>
    </w:p>
    <w:p>
      <w:pPr>
        <w:jc w:val="center"/>
        <w:rPr>
          <w:rFonts w:ascii="黑体" w:hAnsi="宋体" w:eastAsia="黑体"/>
          <w:color w:val="000000"/>
          <w:sz w:val="44"/>
          <w:szCs w:val="44"/>
        </w:rPr>
      </w:pPr>
    </w:p>
    <w:p>
      <w:pPr>
        <w:jc w:val="center"/>
        <w:rPr>
          <w:rFonts w:ascii="黑体" w:hAnsi="宋体" w:eastAsia="黑体"/>
          <w:color w:val="000000"/>
          <w:sz w:val="44"/>
          <w:szCs w:val="44"/>
        </w:rPr>
      </w:pPr>
    </w:p>
    <w:p>
      <w:pPr>
        <w:jc w:val="center"/>
        <w:rPr>
          <w:rFonts w:ascii="黑体" w:hAnsi="宋体" w:eastAsia="黑体"/>
          <w:color w:val="000000"/>
          <w:sz w:val="44"/>
          <w:szCs w:val="44"/>
        </w:rPr>
      </w:pPr>
    </w:p>
    <w:p>
      <w:pPr>
        <w:spacing w:line="360" w:lineRule="auto"/>
        <w:ind w:firstLine="1400" w:firstLineChars="500"/>
        <w:rPr>
          <w:rFonts w:hint="default" w:ascii="黑体" w:hAnsi="黑体" w:eastAsia="黑体"/>
          <w:color w:val="000000"/>
          <w:kern w:val="16"/>
          <w:sz w:val="28"/>
          <w:szCs w:val="28"/>
          <w:u w:val="single"/>
          <w:lang w:val="en-US" w:eastAsia="zh-CN"/>
        </w:rPr>
      </w:pPr>
      <w:r>
        <w:rPr>
          <w:rFonts w:hint="eastAsia" w:ascii="黑体" w:hAnsi="黑体" w:eastAsia="黑体"/>
          <w:color w:val="000000"/>
          <w:kern w:val="16"/>
          <w:sz w:val="28"/>
          <w:szCs w:val="28"/>
        </w:rPr>
        <w:t>采购文件编号：</w:t>
      </w:r>
      <w:r>
        <w:rPr>
          <w:rFonts w:hint="eastAsia" w:ascii="黑体" w:hAnsi="黑体" w:eastAsia="黑体"/>
          <w:color w:val="000000"/>
          <w:kern w:val="16"/>
          <w:sz w:val="28"/>
          <w:szCs w:val="28"/>
          <w:u w:val="single"/>
          <w:lang w:val="en-US" w:eastAsia="zh-CN"/>
        </w:rPr>
        <w:t>440001-2021-31762</w:t>
      </w:r>
    </w:p>
    <w:p>
      <w:pPr>
        <w:spacing w:line="360" w:lineRule="auto"/>
        <w:ind w:left="3356" w:leftChars="665" w:hanging="1960" w:hangingChars="700"/>
        <w:rPr>
          <w:rFonts w:hint="eastAsia" w:ascii="黑体" w:hAnsi="黑体" w:eastAsia="黑体"/>
          <w:color w:val="000000"/>
          <w:kern w:val="16"/>
          <w:sz w:val="28"/>
          <w:szCs w:val="28"/>
          <w:lang w:eastAsia="zh-CN"/>
        </w:rPr>
      </w:pPr>
      <w:r>
        <w:rPr>
          <w:rFonts w:hint="eastAsia" w:ascii="黑体" w:hAnsi="黑体" w:eastAsia="黑体"/>
          <w:color w:val="000000"/>
          <w:kern w:val="16"/>
          <w:sz w:val="28"/>
          <w:szCs w:val="28"/>
        </w:rPr>
        <w:t>采购项目名称：</w:t>
      </w:r>
      <w:r>
        <w:rPr>
          <w:rFonts w:hint="eastAsia" w:ascii="黑体" w:hAnsi="黑体" w:eastAsia="黑体"/>
          <w:color w:val="000000"/>
          <w:kern w:val="16"/>
          <w:sz w:val="28"/>
          <w:szCs w:val="28"/>
          <w:u w:val="single"/>
          <w:lang w:eastAsia="zh-CN"/>
        </w:rPr>
        <w:t>肇庆市端州区人民法院集控中心项目</w:t>
      </w:r>
    </w:p>
    <w:p>
      <w:pPr>
        <w:spacing w:line="360" w:lineRule="auto"/>
        <w:ind w:firstLine="1400" w:firstLineChars="500"/>
        <w:rPr>
          <w:rFonts w:ascii="黑体" w:hAnsi="黑体" w:eastAsia="黑体"/>
          <w:color w:val="000000"/>
          <w:kern w:val="16"/>
          <w:sz w:val="28"/>
          <w:szCs w:val="28"/>
          <w:u w:val="single"/>
        </w:rPr>
      </w:pPr>
      <w:r>
        <w:rPr>
          <w:rFonts w:hint="eastAsia" w:ascii="黑体" w:hAnsi="黑体" w:eastAsia="黑体"/>
          <w:color w:val="000000"/>
          <w:kern w:val="16"/>
          <w:sz w:val="28"/>
          <w:szCs w:val="28"/>
        </w:rPr>
        <w:t>采</w:t>
      </w:r>
      <w:r>
        <w:rPr>
          <w:rFonts w:ascii="黑体" w:hAnsi="黑体" w:eastAsia="黑体"/>
          <w:color w:val="000000"/>
          <w:kern w:val="16"/>
          <w:sz w:val="28"/>
          <w:szCs w:val="28"/>
        </w:rPr>
        <w:t xml:space="preserve">   </w:t>
      </w:r>
      <w:r>
        <w:rPr>
          <w:rFonts w:hint="eastAsia" w:ascii="黑体" w:hAnsi="黑体" w:eastAsia="黑体"/>
          <w:color w:val="000000"/>
          <w:kern w:val="16"/>
          <w:sz w:val="28"/>
          <w:szCs w:val="28"/>
        </w:rPr>
        <w:t>购</w:t>
      </w:r>
      <w:r>
        <w:rPr>
          <w:rFonts w:ascii="黑体" w:hAnsi="黑体" w:eastAsia="黑体"/>
          <w:color w:val="000000"/>
          <w:kern w:val="16"/>
          <w:sz w:val="28"/>
          <w:szCs w:val="28"/>
        </w:rPr>
        <w:t xml:space="preserve">   </w:t>
      </w:r>
      <w:r>
        <w:rPr>
          <w:rFonts w:hint="eastAsia" w:ascii="黑体" w:hAnsi="黑体" w:eastAsia="黑体"/>
          <w:color w:val="000000"/>
          <w:kern w:val="16"/>
          <w:sz w:val="28"/>
          <w:szCs w:val="28"/>
        </w:rPr>
        <w:t>人：</w:t>
      </w:r>
      <w:r>
        <w:rPr>
          <w:rFonts w:hint="eastAsia" w:ascii="黑体" w:hAnsi="黑体" w:eastAsia="黑体"/>
          <w:color w:val="000000"/>
          <w:kern w:val="16"/>
          <w:sz w:val="28"/>
          <w:szCs w:val="28"/>
          <w:u w:val="single"/>
        </w:rPr>
        <w:t>肇庆市端州区人民法院</w:t>
      </w:r>
    </w:p>
    <w:p>
      <w:pPr>
        <w:spacing w:line="360" w:lineRule="auto"/>
        <w:ind w:firstLine="1400" w:firstLineChars="500"/>
        <w:rPr>
          <w:rFonts w:ascii="黑体" w:hAnsi="黑体" w:eastAsia="黑体"/>
          <w:color w:val="000000"/>
          <w:kern w:val="16"/>
          <w:sz w:val="28"/>
          <w:szCs w:val="28"/>
        </w:rPr>
      </w:pPr>
      <w:r>
        <w:rPr>
          <w:rFonts w:hint="eastAsia" w:ascii="黑体" w:hAnsi="黑体" w:eastAsia="黑体"/>
          <w:color w:val="000000"/>
          <w:kern w:val="16"/>
          <w:sz w:val="28"/>
          <w:szCs w:val="28"/>
        </w:rPr>
        <w:t>集</w:t>
      </w:r>
      <w:r>
        <w:rPr>
          <w:rFonts w:ascii="黑体" w:hAnsi="黑体" w:eastAsia="黑体"/>
          <w:color w:val="000000"/>
          <w:kern w:val="16"/>
          <w:sz w:val="28"/>
          <w:szCs w:val="28"/>
        </w:rPr>
        <w:t xml:space="preserve"> </w:t>
      </w:r>
      <w:r>
        <w:rPr>
          <w:rFonts w:hint="eastAsia" w:ascii="黑体" w:hAnsi="黑体" w:eastAsia="黑体"/>
          <w:color w:val="000000"/>
          <w:kern w:val="16"/>
          <w:sz w:val="28"/>
          <w:szCs w:val="28"/>
        </w:rPr>
        <w:t>采</w:t>
      </w:r>
      <w:r>
        <w:rPr>
          <w:rFonts w:ascii="黑体" w:hAnsi="黑体" w:eastAsia="黑体"/>
          <w:color w:val="000000"/>
          <w:kern w:val="16"/>
          <w:sz w:val="28"/>
          <w:szCs w:val="28"/>
        </w:rPr>
        <w:t xml:space="preserve"> </w:t>
      </w:r>
      <w:r>
        <w:rPr>
          <w:rFonts w:hint="eastAsia" w:ascii="黑体" w:hAnsi="黑体" w:eastAsia="黑体"/>
          <w:color w:val="000000"/>
          <w:kern w:val="16"/>
          <w:sz w:val="28"/>
          <w:szCs w:val="28"/>
        </w:rPr>
        <w:t>机</w:t>
      </w:r>
      <w:r>
        <w:rPr>
          <w:rFonts w:ascii="黑体" w:hAnsi="黑体" w:eastAsia="黑体"/>
          <w:color w:val="000000"/>
          <w:kern w:val="16"/>
          <w:sz w:val="28"/>
          <w:szCs w:val="28"/>
        </w:rPr>
        <w:t xml:space="preserve"> </w:t>
      </w:r>
      <w:r>
        <w:rPr>
          <w:rFonts w:hint="eastAsia" w:ascii="黑体" w:hAnsi="黑体" w:eastAsia="黑体"/>
          <w:color w:val="000000"/>
          <w:kern w:val="16"/>
          <w:sz w:val="28"/>
          <w:szCs w:val="28"/>
        </w:rPr>
        <w:t>构</w:t>
      </w:r>
      <w:r>
        <w:rPr>
          <w:rFonts w:ascii="黑体" w:hAnsi="黑体" w:eastAsia="黑体"/>
          <w:color w:val="000000"/>
          <w:kern w:val="16"/>
          <w:sz w:val="28"/>
          <w:szCs w:val="28"/>
        </w:rPr>
        <w:t xml:space="preserve"> </w:t>
      </w:r>
      <w:r>
        <w:rPr>
          <w:rFonts w:hint="eastAsia" w:ascii="黑体" w:hAnsi="黑体" w:eastAsia="黑体"/>
          <w:color w:val="000000"/>
          <w:kern w:val="16"/>
          <w:sz w:val="28"/>
          <w:szCs w:val="28"/>
        </w:rPr>
        <w:t>：</w:t>
      </w:r>
      <w:r>
        <w:rPr>
          <w:rFonts w:hint="eastAsia" w:ascii="黑体" w:hAnsi="黑体" w:eastAsia="黑体"/>
          <w:color w:val="000000"/>
          <w:kern w:val="16"/>
          <w:sz w:val="28"/>
          <w:szCs w:val="28"/>
          <w:u w:val="single"/>
        </w:rPr>
        <w:t>肇庆市公共资源交易中心</w:t>
      </w:r>
    </w:p>
    <w:p>
      <w:pPr>
        <w:jc w:val="center"/>
        <w:rPr>
          <w:rFonts w:ascii="黑体" w:hAnsi="黑体" w:eastAsia="黑体"/>
          <w:color w:val="000000"/>
          <w:sz w:val="36"/>
          <w:szCs w:val="36"/>
        </w:rPr>
      </w:pPr>
      <w:r>
        <w:rPr>
          <w:rFonts w:ascii="宋体"/>
          <w:color w:val="000000"/>
          <w:szCs w:val="21"/>
        </w:rPr>
        <w:br w:type="page"/>
      </w:r>
      <w:r>
        <w:rPr>
          <w:rFonts w:hint="eastAsia" w:ascii="黑体" w:hAnsi="黑体" w:eastAsia="黑体"/>
          <w:color w:val="000000"/>
          <w:sz w:val="36"/>
          <w:szCs w:val="36"/>
        </w:rPr>
        <w:t>政府采购委托代理协议</w:t>
      </w:r>
    </w:p>
    <w:p>
      <w:pPr>
        <w:rPr>
          <w:rFonts w:ascii="宋体"/>
          <w:color w:val="000000"/>
          <w:szCs w:val="21"/>
        </w:rPr>
      </w:pPr>
    </w:p>
    <w:p>
      <w:pPr>
        <w:spacing w:line="480" w:lineRule="auto"/>
        <w:rPr>
          <w:rFonts w:ascii="宋体" w:cs="宋体"/>
          <w:b/>
          <w:color w:val="000000"/>
          <w:sz w:val="24"/>
        </w:rPr>
      </w:pPr>
      <w:r>
        <w:rPr>
          <w:rFonts w:hint="eastAsia" w:ascii="宋体" w:hAnsi="宋体" w:cs="宋体"/>
          <w:b/>
          <w:color w:val="000000"/>
          <w:sz w:val="24"/>
        </w:rPr>
        <w:t>甲方（委托方）：肇庆市端州区人民法院</w:t>
      </w:r>
    </w:p>
    <w:p>
      <w:pPr>
        <w:spacing w:line="480" w:lineRule="auto"/>
        <w:rPr>
          <w:rFonts w:ascii="宋体" w:cs="宋体"/>
          <w:b/>
          <w:color w:val="000000"/>
          <w:sz w:val="24"/>
        </w:rPr>
      </w:pPr>
      <w:r>
        <w:rPr>
          <w:rFonts w:hint="eastAsia" w:ascii="宋体" w:hAnsi="宋体" w:cs="宋体"/>
          <w:b/>
          <w:color w:val="000000"/>
          <w:sz w:val="24"/>
        </w:rPr>
        <w:t>乙方（受托方）：肇庆市公共资源交易中心</w:t>
      </w:r>
    </w:p>
    <w:p>
      <w:pPr>
        <w:spacing w:line="480" w:lineRule="auto"/>
        <w:ind w:firstLine="420" w:firstLineChars="200"/>
        <w:rPr>
          <w:rFonts w:ascii="宋体" w:cs="宋体"/>
          <w:color w:val="000000"/>
          <w:szCs w:val="21"/>
        </w:rPr>
      </w:pPr>
      <w:r>
        <w:rPr>
          <w:rFonts w:hint="eastAsia" w:ascii="宋体" w:hAnsi="宋体" w:cs="宋体"/>
          <w:color w:val="000000"/>
          <w:szCs w:val="21"/>
        </w:rPr>
        <w:t>甲方就</w:t>
      </w:r>
      <w:r>
        <w:rPr>
          <w:rFonts w:hint="eastAsia" w:ascii="宋体" w:hAnsi="宋体" w:cs="宋体"/>
          <w:b/>
          <w:color w:val="000000"/>
          <w:szCs w:val="21"/>
          <w:u w:val="single"/>
          <w:lang w:eastAsia="zh-CN"/>
        </w:rPr>
        <w:t>肇庆市端州区人民法院集控中心项目</w:t>
      </w:r>
      <w:r>
        <w:rPr>
          <w:rFonts w:hint="eastAsia" w:asciiTheme="minorEastAsia" w:hAnsiTheme="minorEastAsia" w:eastAsiaTheme="minorEastAsia" w:cstheme="minorEastAsia"/>
          <w:color w:val="000000"/>
          <w:szCs w:val="21"/>
        </w:rPr>
        <w:t>（编号：</w:t>
      </w:r>
      <w:r>
        <w:rPr>
          <w:rFonts w:hint="eastAsia" w:asciiTheme="minorEastAsia" w:hAnsiTheme="minorEastAsia" w:eastAsiaTheme="minorEastAsia" w:cstheme="minorEastAsia"/>
          <w:b/>
          <w:bCs/>
          <w:color w:val="000000"/>
          <w:szCs w:val="21"/>
          <w:u w:val="single"/>
          <w:lang w:val="en-US" w:eastAsia="zh-CN"/>
        </w:rPr>
        <w:t>440001-2021-31762</w:t>
      </w:r>
      <w:r>
        <w:rPr>
          <w:rFonts w:hint="eastAsia" w:asciiTheme="minorEastAsia" w:hAnsiTheme="minorEastAsia" w:eastAsiaTheme="minorEastAsia" w:cstheme="minorEastAsia"/>
          <w:color w:val="000000"/>
          <w:szCs w:val="21"/>
        </w:rPr>
        <w:t>）委托乙方代理采购，乙方愿意接受甲方委托，预算金额：</w:t>
      </w:r>
      <w:r>
        <w:rPr>
          <w:rFonts w:hint="eastAsia" w:asciiTheme="minorEastAsia" w:hAnsiTheme="minorEastAsia" w:eastAsiaTheme="minorEastAsia" w:cstheme="minorEastAsia"/>
          <w:b/>
          <w:color w:val="000000"/>
          <w:szCs w:val="21"/>
          <w:u w:val="single"/>
        </w:rPr>
        <w:t>¥</w:t>
      </w:r>
      <w:r>
        <w:rPr>
          <w:rFonts w:hint="eastAsia" w:asciiTheme="minorEastAsia" w:hAnsiTheme="minorEastAsia" w:eastAsiaTheme="minorEastAsia" w:cstheme="minorEastAsia"/>
          <w:b/>
          <w:color w:val="000000"/>
          <w:szCs w:val="21"/>
          <w:u w:val="single"/>
          <w:lang w:val="en-US" w:eastAsia="zh-CN"/>
        </w:rPr>
        <w:t>2,703,325.00</w:t>
      </w:r>
      <w:r>
        <w:rPr>
          <w:rFonts w:hint="eastAsia" w:ascii="宋体" w:hAnsi="宋体" w:cs="宋体"/>
          <w:b/>
          <w:color w:val="000000"/>
          <w:szCs w:val="21"/>
          <w:u w:val="single"/>
        </w:rPr>
        <w:t>元</w:t>
      </w:r>
      <w:r>
        <w:rPr>
          <w:rFonts w:hint="eastAsia" w:ascii="宋体" w:hAnsi="宋体" w:cs="宋体"/>
          <w:bCs/>
          <w:color w:val="000000"/>
          <w:szCs w:val="21"/>
        </w:rPr>
        <w:t>。</w:t>
      </w:r>
      <w:r>
        <w:rPr>
          <w:rFonts w:hint="eastAsia" w:ascii="宋体" w:hAnsi="宋体" w:cs="宋体"/>
          <w:color w:val="000000"/>
          <w:szCs w:val="21"/>
        </w:rPr>
        <w:t>按照甲方依法确定的采购方式</w:t>
      </w:r>
      <w:r>
        <w:rPr>
          <w:rFonts w:ascii="宋体" w:hAnsi="宋体" w:cs="宋体"/>
          <w:color w:val="000000"/>
          <w:szCs w:val="21"/>
        </w:rPr>
        <w:t xml:space="preserve"> --</w:t>
      </w:r>
      <w:r>
        <w:rPr>
          <w:rFonts w:ascii="宋体" w:hAnsi="宋体" w:cs="宋体"/>
          <w:b/>
          <w:color w:val="000000"/>
          <w:szCs w:val="21"/>
          <w:u w:val="single"/>
        </w:rPr>
        <w:t xml:space="preserve"> </w:t>
      </w:r>
      <w:bookmarkStart w:id="0" w:name="fsCcaigfs"/>
      <w:bookmarkEnd w:id="0"/>
      <w:r>
        <w:rPr>
          <w:rFonts w:ascii="宋体" w:hAnsi="宋体" w:cs="宋体"/>
          <w:b/>
          <w:color w:val="000000"/>
          <w:szCs w:val="21"/>
          <w:u w:val="single"/>
        </w:rPr>
        <w:t xml:space="preserve"> </w:t>
      </w:r>
      <w:r>
        <w:rPr>
          <w:rFonts w:hint="eastAsia" w:ascii="宋体" w:hAnsi="宋体" w:cs="宋体"/>
          <w:b/>
          <w:color w:val="000000"/>
          <w:szCs w:val="21"/>
          <w:u w:val="single"/>
        </w:rPr>
        <w:t>公开招标</w:t>
      </w:r>
      <w:r>
        <w:rPr>
          <w:rFonts w:ascii="宋体" w:hAnsi="宋体" w:cs="宋体"/>
          <w:b/>
          <w:color w:val="000000"/>
          <w:szCs w:val="21"/>
          <w:u w:val="single"/>
        </w:rPr>
        <w:t xml:space="preserve">  </w:t>
      </w:r>
      <w:r>
        <w:rPr>
          <w:rFonts w:hint="eastAsia" w:ascii="宋体" w:hAnsi="宋体" w:cs="宋体"/>
          <w:color w:val="000000"/>
          <w:szCs w:val="21"/>
        </w:rPr>
        <w:t>方式和规定的程序组织采购活动。甲、乙双方都应自觉接受有关部门的监督管理，严格履行采购方式及采购程序规定，执行国家法律、法规，尊重国际惯例，确保落实采购公开透明、公平竞争、公正和诚实信用原则。甲方、乙方双方经协商一致，就有关事宜达成如下协议：</w:t>
      </w:r>
    </w:p>
    <w:p>
      <w:pPr>
        <w:spacing w:line="480" w:lineRule="auto"/>
        <w:ind w:firstLine="482" w:firstLineChars="200"/>
        <w:outlineLvl w:val="0"/>
        <w:rPr>
          <w:rFonts w:ascii="宋体" w:cs="宋体"/>
          <w:b/>
          <w:color w:val="000000"/>
          <w:sz w:val="24"/>
        </w:rPr>
      </w:pPr>
      <w:r>
        <w:rPr>
          <w:rFonts w:hint="eastAsia" w:ascii="宋体" w:hAnsi="宋体" w:cs="宋体"/>
          <w:b/>
          <w:color w:val="000000"/>
          <w:sz w:val="24"/>
        </w:rPr>
        <w:t>一、双方的责任和义务</w:t>
      </w:r>
    </w:p>
    <w:p>
      <w:pPr>
        <w:spacing w:line="480" w:lineRule="auto"/>
        <w:ind w:firstLine="422" w:firstLineChars="200"/>
        <w:outlineLvl w:val="0"/>
        <w:rPr>
          <w:rFonts w:ascii="宋体" w:cs="宋体"/>
          <w:b/>
          <w:bCs/>
          <w:color w:val="000000"/>
          <w:szCs w:val="21"/>
        </w:rPr>
      </w:pPr>
      <w:r>
        <w:rPr>
          <w:rFonts w:hint="eastAsia" w:ascii="宋体" w:hAnsi="宋体" w:cs="宋体"/>
          <w:b/>
          <w:bCs/>
          <w:color w:val="000000"/>
          <w:szCs w:val="21"/>
        </w:rPr>
        <w:t>（一）甲方的责任和义务</w:t>
      </w:r>
    </w:p>
    <w:p>
      <w:pPr>
        <w:spacing w:line="48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、甲方是政府采购的主体，已落实采购所需的资金和政府采购计划。</w:t>
      </w:r>
    </w:p>
    <w:p>
      <w:pPr>
        <w:spacing w:line="48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、甲方应当执行《中华人民共和国政府采购法》及政府采购有关法律法规的规定。</w:t>
      </w:r>
    </w:p>
    <w:p>
      <w:pPr>
        <w:spacing w:line="48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、甲方根据《财政部关于加强政府采购活动内部控制管理的指导意见》（财库〔</w:t>
      </w:r>
      <w:r>
        <w:rPr>
          <w:rFonts w:ascii="宋体" w:hAnsi="宋体" w:cs="宋体"/>
          <w:color w:val="000000"/>
          <w:szCs w:val="21"/>
        </w:rPr>
        <w:t>2016</w:t>
      </w:r>
      <w:r>
        <w:rPr>
          <w:rFonts w:hint="eastAsia" w:ascii="宋体" w:hAnsi="宋体" w:cs="宋体"/>
          <w:color w:val="000000"/>
          <w:szCs w:val="21"/>
        </w:rPr>
        <w:t>〕</w:t>
      </w:r>
      <w:r>
        <w:rPr>
          <w:rFonts w:ascii="宋体" w:hAnsi="宋体" w:cs="宋体"/>
          <w:color w:val="000000"/>
          <w:szCs w:val="21"/>
        </w:rPr>
        <w:t>99</w:t>
      </w:r>
      <w:r>
        <w:rPr>
          <w:rFonts w:hint="eastAsia" w:ascii="宋体" w:hAnsi="宋体" w:cs="宋体"/>
          <w:color w:val="000000"/>
          <w:szCs w:val="21"/>
        </w:rPr>
        <w:t>号文）建立内部控制管理制度，并指定一位工作人员，作为甲方的项目负责人，代表甲方联系和处理采购过程中的有关具体事项。</w:t>
      </w:r>
    </w:p>
    <w:p>
      <w:pPr>
        <w:spacing w:line="480" w:lineRule="auto"/>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甲方应当根据《财政部关于进一步加强政府采购需求和履约验收管理的指导意见》，对采购标的的市场技术或者服务水平、供应、价格等情况进行市场调查，根据调查情况、资产配置标准等科学、合理地确定采购需求，进行价格测算，采购需求应当完整、明确。非单一产品采购项目，甲方应当在需求明确核心产品。</w:t>
      </w:r>
    </w:p>
    <w:p>
      <w:pPr>
        <w:spacing w:line="480" w:lineRule="auto"/>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、甲方负责确认采购文件。乙方编制的采购文件须经甲方确认后方对外发售。</w:t>
      </w:r>
    </w:p>
    <w:p>
      <w:pPr>
        <w:spacing w:line="480" w:lineRule="auto"/>
        <w:ind w:firstLine="420" w:firstLineChars="200"/>
        <w:rPr>
          <w:rFonts w:ascii="宋体" w:cs="宋体"/>
          <w:color w:val="000000"/>
          <w:szCs w:val="21"/>
        </w:rPr>
      </w:pPr>
      <w:r>
        <w:rPr>
          <w:rFonts w:ascii="宋体" w:hAnsi="宋体" w:cs="宋体"/>
          <w:color w:val="000000"/>
          <w:szCs w:val="21"/>
        </w:rPr>
        <w:t>6</w:t>
      </w:r>
      <w:r>
        <w:rPr>
          <w:rFonts w:hint="eastAsia" w:ascii="宋体" w:hAnsi="宋体" w:cs="宋体"/>
          <w:color w:val="000000"/>
          <w:szCs w:val="21"/>
        </w:rPr>
        <w:t>、甲方参加开标会人员应在投标截止时间前到达开标现场。若未能及时到达，乙方也将按时举行开标会。</w:t>
      </w:r>
    </w:p>
    <w:p>
      <w:pPr>
        <w:spacing w:line="480" w:lineRule="auto"/>
        <w:ind w:firstLine="420" w:firstLineChars="200"/>
        <w:rPr>
          <w:rFonts w:ascii="宋体" w:cs="宋体"/>
          <w:color w:val="000000"/>
          <w:szCs w:val="21"/>
        </w:rPr>
      </w:pPr>
      <w:r>
        <w:rPr>
          <w:rFonts w:ascii="宋体" w:hAnsi="宋体" w:cs="宋体"/>
          <w:color w:val="000000"/>
          <w:szCs w:val="21"/>
        </w:rPr>
        <w:t>7</w:t>
      </w:r>
      <w:r>
        <w:rPr>
          <w:rFonts w:hint="eastAsia" w:ascii="宋体" w:hAnsi="宋体" w:cs="宋体"/>
          <w:color w:val="000000"/>
          <w:szCs w:val="21"/>
        </w:rPr>
        <w:t>、甲方可委派</w:t>
      </w:r>
      <w:r>
        <w:rPr>
          <w:rFonts w:ascii="宋体" w:hAnsi="宋体" w:cs="宋体"/>
          <w:color w:val="000000"/>
          <w:szCs w:val="21"/>
        </w:rPr>
        <w:t>1</w:t>
      </w:r>
      <w:r>
        <w:rPr>
          <w:rFonts w:hint="eastAsia" w:ascii="宋体" w:hAnsi="宋体" w:cs="宋体"/>
          <w:color w:val="000000"/>
          <w:szCs w:val="21"/>
        </w:rPr>
        <w:t>名代表作为评审委员会成员参与本项目评审工作。</w:t>
      </w:r>
    </w:p>
    <w:p>
      <w:pPr>
        <w:spacing w:line="480" w:lineRule="auto"/>
        <w:ind w:firstLine="420" w:firstLineChars="200"/>
        <w:rPr>
          <w:rFonts w:ascii="宋体" w:cs="宋体"/>
          <w:color w:val="000000"/>
          <w:szCs w:val="21"/>
        </w:rPr>
      </w:pPr>
      <w:r>
        <w:rPr>
          <w:rFonts w:ascii="宋体" w:hAnsi="宋体" w:cs="宋体"/>
          <w:color w:val="000000"/>
          <w:szCs w:val="21"/>
        </w:rPr>
        <w:t>8</w:t>
      </w:r>
      <w:r>
        <w:rPr>
          <w:rFonts w:hint="eastAsia" w:ascii="宋体" w:hAnsi="宋体" w:cs="宋体"/>
          <w:color w:val="000000"/>
          <w:szCs w:val="21"/>
        </w:rPr>
        <w:t>、本项目的投标人资格审查工作由甲方或乙方负责。</w:t>
      </w:r>
    </w:p>
    <w:p>
      <w:pPr>
        <w:spacing w:line="480" w:lineRule="auto"/>
        <w:ind w:firstLine="420" w:firstLineChars="200"/>
        <w:rPr>
          <w:rFonts w:ascii="宋体" w:cs="宋体"/>
          <w:color w:val="000000"/>
          <w:szCs w:val="21"/>
        </w:rPr>
      </w:pPr>
      <w:r>
        <w:rPr>
          <w:rFonts w:ascii="宋体" w:hAnsi="宋体" w:cs="宋体"/>
          <w:color w:val="000000"/>
          <w:szCs w:val="21"/>
        </w:rPr>
        <w:t>9</w:t>
      </w:r>
      <w:r>
        <w:rPr>
          <w:rFonts w:hint="eastAsia" w:ascii="宋体" w:hAnsi="宋体" w:cs="宋体"/>
          <w:color w:val="000000"/>
          <w:szCs w:val="21"/>
        </w:rPr>
        <w:t>、甲方应当自收到评标报告之日起</w:t>
      </w:r>
      <w:r>
        <w:rPr>
          <w:rFonts w:ascii="宋体" w:hAnsi="宋体" w:cs="宋体"/>
          <w:color w:val="000000"/>
          <w:szCs w:val="21"/>
        </w:rPr>
        <w:t>5</w:t>
      </w:r>
      <w:r>
        <w:rPr>
          <w:rFonts w:hint="eastAsia" w:ascii="宋体" w:hAnsi="宋体" w:cs="宋体"/>
          <w:color w:val="000000"/>
          <w:szCs w:val="21"/>
        </w:rPr>
        <w:t>个工作日内，在评标报告确定的中标</w:t>
      </w:r>
      <w:r>
        <w:rPr>
          <w:rFonts w:ascii="宋体" w:hAnsi="宋体" w:cs="宋体"/>
          <w:color w:val="000000"/>
          <w:szCs w:val="21"/>
        </w:rPr>
        <w:t>/</w:t>
      </w:r>
      <w:r>
        <w:rPr>
          <w:rFonts w:hint="eastAsia" w:ascii="宋体" w:hAnsi="宋体" w:cs="宋体"/>
          <w:color w:val="000000"/>
          <w:szCs w:val="21"/>
        </w:rPr>
        <w:t>成交候选人名单中按顺序确定中标</w:t>
      </w:r>
      <w:r>
        <w:rPr>
          <w:rFonts w:ascii="宋体" w:hAnsi="宋体" w:cs="宋体"/>
          <w:color w:val="000000"/>
          <w:szCs w:val="21"/>
        </w:rPr>
        <w:t>/</w:t>
      </w:r>
      <w:r>
        <w:rPr>
          <w:rFonts w:hint="eastAsia" w:ascii="宋体" w:hAnsi="宋体" w:cs="宋体"/>
          <w:color w:val="000000"/>
          <w:szCs w:val="21"/>
        </w:rPr>
        <w:t>成交人，并向乙方出具评审结果确认函。如甲方</w:t>
      </w:r>
      <w:r>
        <w:rPr>
          <w:rFonts w:ascii="宋体" w:hAnsi="宋体" w:cs="宋体"/>
          <w:color w:val="000000"/>
          <w:szCs w:val="21"/>
        </w:rPr>
        <w:t>5</w:t>
      </w:r>
      <w:r>
        <w:rPr>
          <w:rFonts w:hint="eastAsia" w:ascii="宋体" w:hAnsi="宋体" w:cs="宋体"/>
          <w:color w:val="000000"/>
          <w:szCs w:val="21"/>
        </w:rPr>
        <w:t>个工作日内未按评标报告推荐的中标</w:t>
      </w:r>
      <w:r>
        <w:rPr>
          <w:rFonts w:ascii="宋体" w:hAnsi="宋体" w:cs="宋体"/>
          <w:color w:val="000000"/>
          <w:szCs w:val="21"/>
        </w:rPr>
        <w:t>/</w:t>
      </w:r>
      <w:r>
        <w:rPr>
          <w:rFonts w:hint="eastAsia" w:ascii="宋体" w:hAnsi="宋体" w:cs="宋体"/>
          <w:color w:val="000000"/>
          <w:szCs w:val="21"/>
        </w:rPr>
        <w:t>成交候选人顺序确定中标人，又不能说明合法理由的，视同按评标报告推荐的顺序确定排名第一的中标</w:t>
      </w:r>
      <w:r>
        <w:rPr>
          <w:rFonts w:ascii="宋体" w:hAnsi="宋体" w:cs="宋体"/>
          <w:color w:val="000000"/>
          <w:szCs w:val="21"/>
        </w:rPr>
        <w:t>/</w:t>
      </w:r>
      <w:r>
        <w:rPr>
          <w:rFonts w:hint="eastAsia" w:ascii="宋体" w:hAnsi="宋体" w:cs="宋体"/>
          <w:color w:val="000000"/>
          <w:szCs w:val="21"/>
        </w:rPr>
        <w:t>成交候选人为中标</w:t>
      </w:r>
      <w:r>
        <w:rPr>
          <w:rFonts w:ascii="宋体" w:hAnsi="宋体" w:cs="宋体"/>
          <w:color w:val="000000"/>
          <w:szCs w:val="21"/>
        </w:rPr>
        <w:t>/</w:t>
      </w:r>
      <w:r>
        <w:rPr>
          <w:rFonts w:hint="eastAsia" w:ascii="宋体" w:hAnsi="宋体" w:cs="宋体"/>
          <w:color w:val="000000"/>
          <w:szCs w:val="21"/>
        </w:rPr>
        <w:t>成交人，乙方将于上述</w:t>
      </w:r>
      <w:r>
        <w:rPr>
          <w:rFonts w:ascii="宋体" w:hAnsi="宋体" w:cs="宋体"/>
          <w:color w:val="000000"/>
          <w:szCs w:val="21"/>
        </w:rPr>
        <w:t>5</w:t>
      </w:r>
      <w:r>
        <w:rPr>
          <w:rFonts w:hint="eastAsia" w:ascii="宋体" w:hAnsi="宋体" w:cs="宋体"/>
          <w:color w:val="000000"/>
          <w:szCs w:val="21"/>
        </w:rPr>
        <w:t>个工作日后发布结果公告。</w:t>
      </w:r>
    </w:p>
    <w:p>
      <w:pPr>
        <w:spacing w:line="480" w:lineRule="auto"/>
        <w:ind w:firstLine="420" w:firstLineChars="200"/>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、甲方应对评审过程和未进行公告的评审结果保密。</w:t>
      </w:r>
    </w:p>
    <w:p>
      <w:pPr>
        <w:spacing w:line="480" w:lineRule="auto"/>
        <w:ind w:firstLine="420" w:firstLineChars="200"/>
        <w:rPr>
          <w:rFonts w:ascii="宋体" w:cs="宋体"/>
          <w:color w:val="000000"/>
          <w:szCs w:val="21"/>
        </w:rPr>
      </w:pPr>
      <w:r>
        <w:rPr>
          <w:rFonts w:ascii="宋体" w:hAnsi="宋体" w:cs="宋体"/>
          <w:color w:val="000000"/>
          <w:szCs w:val="21"/>
        </w:rPr>
        <w:t>11</w:t>
      </w:r>
      <w:r>
        <w:rPr>
          <w:rFonts w:hint="eastAsia" w:ascii="宋体" w:hAnsi="宋体" w:cs="宋体"/>
          <w:color w:val="000000"/>
          <w:szCs w:val="21"/>
        </w:rPr>
        <w:t>、甲方应在采购合同签订之日起七个工作日内将采购合同副本送乙方归档。</w:t>
      </w:r>
    </w:p>
    <w:p>
      <w:pPr>
        <w:spacing w:line="480" w:lineRule="auto"/>
        <w:ind w:firstLine="420" w:firstLineChars="200"/>
        <w:rPr>
          <w:rFonts w:ascii="宋体" w:cs="宋体"/>
          <w:color w:val="000000"/>
          <w:szCs w:val="21"/>
        </w:rPr>
      </w:pPr>
      <w:r>
        <w:rPr>
          <w:rFonts w:ascii="宋体" w:hAnsi="宋体" w:cs="宋体"/>
          <w:color w:val="000000"/>
          <w:szCs w:val="21"/>
        </w:rPr>
        <w:t>12</w:t>
      </w:r>
      <w:r>
        <w:rPr>
          <w:rFonts w:hint="eastAsia" w:ascii="宋体" w:hAnsi="宋体" w:cs="宋体"/>
          <w:color w:val="000000"/>
          <w:szCs w:val="21"/>
        </w:rPr>
        <w:t>、甲方负责项目合同的履约验收工作。</w:t>
      </w:r>
    </w:p>
    <w:p>
      <w:pPr>
        <w:spacing w:line="480" w:lineRule="auto"/>
        <w:ind w:firstLine="420" w:firstLineChars="200"/>
        <w:rPr>
          <w:rFonts w:ascii="宋体" w:cs="宋体"/>
          <w:color w:val="000000"/>
          <w:szCs w:val="21"/>
        </w:rPr>
      </w:pPr>
      <w:r>
        <w:rPr>
          <w:rFonts w:ascii="宋体" w:hAnsi="宋体" w:cs="宋体"/>
          <w:color w:val="000000"/>
          <w:szCs w:val="21"/>
        </w:rPr>
        <w:t>13</w:t>
      </w:r>
      <w:r>
        <w:rPr>
          <w:rFonts w:hint="eastAsia" w:ascii="宋体" w:hAnsi="宋体" w:cs="宋体"/>
          <w:color w:val="000000"/>
          <w:szCs w:val="21"/>
        </w:rPr>
        <w:t>、在供应商资质要求、采购需求及评分标准的询问或者质疑由甲方负责答复。质疑答复内容不得涉及商业秘密。</w:t>
      </w:r>
    </w:p>
    <w:p>
      <w:pPr>
        <w:spacing w:line="480" w:lineRule="auto"/>
        <w:ind w:firstLine="422" w:firstLineChars="200"/>
        <w:outlineLvl w:val="0"/>
        <w:rPr>
          <w:rFonts w:ascii="宋体" w:cs="宋体"/>
          <w:b/>
          <w:bCs/>
          <w:color w:val="000000"/>
          <w:szCs w:val="21"/>
        </w:rPr>
      </w:pPr>
      <w:r>
        <w:rPr>
          <w:rFonts w:hint="eastAsia" w:ascii="宋体" w:hAnsi="宋体" w:cs="宋体"/>
          <w:b/>
          <w:bCs/>
          <w:color w:val="000000"/>
          <w:szCs w:val="21"/>
        </w:rPr>
        <w:t>（二）乙方的责任和义务</w:t>
      </w:r>
    </w:p>
    <w:p>
      <w:pPr>
        <w:spacing w:line="48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、乙方是政府集中采购机构，要树立服务意识，认真做好组织实施的工作。在本次采购的全过程应接受甲方和政府采购管理部门的监督，并在采购人委托的范围内依法开展采购活动。</w:t>
      </w:r>
    </w:p>
    <w:p>
      <w:pPr>
        <w:spacing w:line="48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乙方应充分发挥集中采购代理机构的职能，按照肇庆市财政局政府采购管理中心核准或甲方依法确定的采购方式和规定的程序及国家有关法律、法规的规定，根据甲方提供的采购项目的有关技术规格和指标参数以及相关服务、商务等材料和要求，负责编制、印刷、发售、修改、澄清、解释采购文件的各项工作。</w:t>
      </w:r>
    </w:p>
    <w:p>
      <w:pPr>
        <w:spacing w:line="48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、乙方负责接收和保管供应商递交的投标（报价）文件，并组织开标（唱价）活动。</w:t>
      </w:r>
    </w:p>
    <w:p>
      <w:pPr>
        <w:spacing w:line="480" w:lineRule="auto"/>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、除特殊项目外，一般项目在评审前一个工作日按有关规定从省政府采购管理部门建立的专家库中通过随机方式抽取确定评审专家。</w:t>
      </w:r>
    </w:p>
    <w:p>
      <w:pPr>
        <w:spacing w:line="480" w:lineRule="auto"/>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、乙方负责安排评审活动的有关事宜，组织评审委员会进行评审，并向甲方提交评审委员会出具的评审报告。</w:t>
      </w:r>
    </w:p>
    <w:p>
      <w:pPr>
        <w:spacing w:line="480" w:lineRule="auto"/>
        <w:ind w:firstLine="420" w:firstLineChars="200"/>
        <w:rPr>
          <w:rFonts w:ascii="宋体" w:cs="宋体"/>
          <w:color w:val="000000"/>
          <w:szCs w:val="21"/>
        </w:rPr>
      </w:pPr>
      <w:r>
        <w:rPr>
          <w:rFonts w:ascii="宋体" w:hAnsi="宋体" w:cs="宋体"/>
          <w:color w:val="000000"/>
          <w:szCs w:val="21"/>
        </w:rPr>
        <w:t>6</w:t>
      </w:r>
      <w:r>
        <w:rPr>
          <w:rFonts w:hint="eastAsia" w:ascii="宋体" w:hAnsi="宋体" w:cs="宋体"/>
          <w:color w:val="000000"/>
          <w:szCs w:val="21"/>
        </w:rPr>
        <w:t>、根据甲方出具的评审结果确认函，按有关规定进行公告，乙方负责将评审结果通知中标（成交）人和未中标（成交）人。</w:t>
      </w:r>
    </w:p>
    <w:p>
      <w:pPr>
        <w:spacing w:line="480" w:lineRule="auto"/>
        <w:ind w:firstLine="420" w:firstLineChars="200"/>
        <w:rPr>
          <w:rFonts w:ascii="宋体" w:cs="宋体"/>
          <w:color w:val="000000"/>
          <w:szCs w:val="21"/>
        </w:rPr>
      </w:pPr>
      <w:r>
        <w:rPr>
          <w:rFonts w:ascii="宋体" w:hAnsi="宋体" w:cs="宋体"/>
          <w:color w:val="000000"/>
          <w:szCs w:val="21"/>
        </w:rPr>
        <w:t>7</w:t>
      </w:r>
      <w:r>
        <w:rPr>
          <w:rFonts w:hint="eastAsia" w:ascii="宋体" w:hAnsi="宋体" w:cs="宋体"/>
          <w:color w:val="000000"/>
          <w:szCs w:val="21"/>
        </w:rPr>
        <w:t>、乙方应对评审过程和未进行公示公告的评审结果保密。</w:t>
      </w:r>
    </w:p>
    <w:p>
      <w:pPr>
        <w:spacing w:line="480" w:lineRule="auto"/>
        <w:ind w:firstLine="420" w:firstLineChars="200"/>
        <w:rPr>
          <w:rFonts w:ascii="宋体" w:cs="宋体"/>
          <w:color w:val="000000"/>
          <w:szCs w:val="21"/>
        </w:rPr>
      </w:pPr>
      <w:r>
        <w:rPr>
          <w:rFonts w:ascii="宋体" w:hAnsi="宋体" w:cs="宋体"/>
          <w:color w:val="000000"/>
          <w:szCs w:val="21"/>
        </w:rPr>
        <w:t>8</w:t>
      </w:r>
      <w:r>
        <w:rPr>
          <w:rFonts w:hint="eastAsia" w:ascii="宋体" w:hAnsi="宋体" w:cs="宋体"/>
          <w:color w:val="000000"/>
          <w:szCs w:val="21"/>
        </w:rPr>
        <w:t>、在程序性方面的询问或者质疑由乙方负责答复。质疑答复内容不得涉及商业秘密。</w:t>
      </w:r>
    </w:p>
    <w:p>
      <w:pPr>
        <w:spacing w:line="480" w:lineRule="auto"/>
        <w:ind w:firstLine="420" w:firstLineChars="200"/>
        <w:rPr>
          <w:rFonts w:ascii="宋体" w:cs="宋体"/>
          <w:color w:val="000000"/>
          <w:sz w:val="24"/>
        </w:rPr>
      </w:pPr>
      <w:r>
        <w:rPr>
          <w:rFonts w:ascii="宋体" w:hAnsi="宋体" w:cs="宋体"/>
          <w:color w:val="000000"/>
          <w:szCs w:val="21"/>
        </w:rPr>
        <w:t>9</w:t>
      </w:r>
      <w:r>
        <w:rPr>
          <w:rFonts w:hint="eastAsia" w:ascii="宋体" w:hAnsi="宋体" w:cs="宋体"/>
          <w:color w:val="000000"/>
          <w:szCs w:val="21"/>
        </w:rPr>
        <w:t>、乙方协助甲方处理合同执行过程中遇到的问题。</w:t>
      </w:r>
    </w:p>
    <w:p>
      <w:pPr>
        <w:spacing w:line="480" w:lineRule="auto"/>
        <w:ind w:firstLine="482" w:firstLineChars="200"/>
        <w:outlineLvl w:val="0"/>
        <w:rPr>
          <w:rFonts w:ascii="宋体" w:cs="宋体"/>
          <w:b/>
          <w:color w:val="000000"/>
          <w:sz w:val="24"/>
        </w:rPr>
      </w:pPr>
      <w:r>
        <w:rPr>
          <w:rFonts w:hint="eastAsia" w:ascii="宋体" w:hAnsi="宋体" w:cs="宋体"/>
          <w:b/>
          <w:color w:val="000000"/>
          <w:sz w:val="24"/>
        </w:rPr>
        <w:t>二、工作原则和定标程序</w:t>
      </w:r>
    </w:p>
    <w:p>
      <w:pPr>
        <w:spacing w:line="480" w:lineRule="auto"/>
        <w:ind w:firstLine="420" w:firstLineChars="200"/>
        <w:outlineLvl w:val="0"/>
        <w:rPr>
          <w:rFonts w:ascii="宋体" w:cs="宋体"/>
          <w:color w:val="000000"/>
          <w:szCs w:val="21"/>
        </w:rPr>
      </w:pPr>
      <w:r>
        <w:rPr>
          <w:rFonts w:hint="eastAsia" w:ascii="宋体" w:hAnsi="宋体" w:cs="宋体"/>
          <w:color w:val="000000"/>
          <w:szCs w:val="21"/>
        </w:rPr>
        <w:t>（一）工作原则</w:t>
      </w:r>
    </w:p>
    <w:p>
      <w:pPr>
        <w:spacing w:line="480" w:lineRule="auto"/>
        <w:ind w:firstLine="420" w:firstLineChars="200"/>
        <w:rPr>
          <w:rFonts w:ascii="宋体" w:cs="宋体"/>
          <w:color w:val="000000"/>
          <w:szCs w:val="21"/>
        </w:rPr>
      </w:pPr>
      <w:r>
        <w:rPr>
          <w:rFonts w:hint="eastAsia" w:ascii="宋体" w:hAnsi="宋体" w:cs="宋体"/>
          <w:color w:val="000000"/>
          <w:szCs w:val="21"/>
        </w:rPr>
        <w:t>甲乙双方本着密切配合、精心组织、保证质量、按期完成的原则，开展各项工作。</w:t>
      </w:r>
    </w:p>
    <w:p>
      <w:pPr>
        <w:spacing w:line="480" w:lineRule="auto"/>
        <w:ind w:firstLine="420" w:firstLineChars="200"/>
        <w:outlineLvl w:val="0"/>
        <w:rPr>
          <w:rFonts w:ascii="宋体" w:cs="宋体"/>
          <w:color w:val="000000"/>
          <w:szCs w:val="21"/>
        </w:rPr>
      </w:pPr>
      <w:r>
        <w:rPr>
          <w:rFonts w:hint="eastAsia" w:ascii="宋体" w:hAnsi="宋体" w:cs="宋体"/>
          <w:color w:val="000000"/>
          <w:szCs w:val="21"/>
        </w:rPr>
        <w:t>（二）定标程序</w:t>
      </w:r>
    </w:p>
    <w:p>
      <w:pPr>
        <w:spacing w:line="480" w:lineRule="auto"/>
        <w:ind w:firstLine="420" w:firstLineChars="200"/>
        <w:rPr>
          <w:rFonts w:ascii="宋体" w:cs="宋体"/>
          <w:color w:val="000000"/>
          <w:sz w:val="24"/>
        </w:rPr>
      </w:pPr>
      <w:r>
        <w:rPr>
          <w:rFonts w:hint="eastAsia" w:ascii="宋体" w:hAnsi="宋体" w:cs="宋体"/>
          <w:color w:val="000000"/>
          <w:szCs w:val="21"/>
        </w:rPr>
        <w:t>甲方根据评审委员会的评审报告和推荐的中标（成交）候选人顺序依法确定中标（成交）人。</w:t>
      </w:r>
    </w:p>
    <w:p>
      <w:pPr>
        <w:spacing w:line="480" w:lineRule="auto"/>
        <w:ind w:firstLine="482" w:firstLineChars="200"/>
        <w:outlineLvl w:val="0"/>
        <w:rPr>
          <w:rFonts w:ascii="宋体" w:cs="宋体"/>
          <w:b/>
          <w:color w:val="000000"/>
          <w:sz w:val="24"/>
        </w:rPr>
      </w:pPr>
      <w:r>
        <w:rPr>
          <w:rFonts w:hint="eastAsia" w:ascii="宋体" w:hAnsi="宋体" w:cs="宋体"/>
          <w:b/>
          <w:color w:val="000000"/>
          <w:sz w:val="24"/>
        </w:rPr>
        <w:t>三、代理费用</w:t>
      </w:r>
    </w:p>
    <w:p>
      <w:pPr>
        <w:spacing w:line="480" w:lineRule="auto"/>
        <w:ind w:firstLine="422" w:firstLineChars="200"/>
        <w:rPr>
          <w:rFonts w:ascii="宋体" w:cs="宋体"/>
          <w:b/>
          <w:color w:val="000000"/>
          <w:szCs w:val="21"/>
        </w:rPr>
      </w:pPr>
      <w:r>
        <w:rPr>
          <w:rFonts w:hint="eastAsia" w:ascii="宋体" w:hAnsi="宋体" w:cs="宋体"/>
          <w:b/>
          <w:color w:val="000000"/>
          <w:szCs w:val="21"/>
        </w:rPr>
        <w:t>（一）本项目乙方不收取任何费用。</w:t>
      </w:r>
    </w:p>
    <w:p>
      <w:pPr>
        <w:pStyle w:val="3"/>
        <w:spacing w:after="0" w:line="480" w:lineRule="auto"/>
        <w:ind w:left="0" w:leftChars="0" w:firstLine="422" w:firstLineChars="200"/>
        <w:rPr>
          <w:rFonts w:ascii="宋体" w:cs="宋体"/>
          <w:b/>
          <w:color w:val="000000"/>
          <w:sz w:val="21"/>
          <w:szCs w:val="21"/>
        </w:rPr>
      </w:pPr>
      <w:r>
        <w:rPr>
          <w:rFonts w:hint="eastAsia" w:ascii="宋体" w:hAnsi="宋体" w:cs="宋体"/>
          <w:b/>
          <w:color w:val="000000"/>
          <w:sz w:val="21"/>
          <w:szCs w:val="21"/>
        </w:rPr>
        <w:t>（二）由于甲、乙双方隶属不同级别财政，评审专家费由采购主体本级财政（甲方）承担，具体按照《广东省财政厅关于修订广东省政府采购评审专家劳务报酬标准的通知》（粤财采购〔2020〕17号）的规定，支付评审专家费。</w:t>
      </w:r>
    </w:p>
    <w:p>
      <w:pPr>
        <w:pStyle w:val="3"/>
        <w:spacing w:after="0" w:line="480" w:lineRule="auto"/>
        <w:ind w:left="0" w:leftChars="0" w:firstLine="420"/>
        <w:rPr>
          <w:rFonts w:ascii="宋体" w:cs="宋体"/>
          <w:color w:val="000000"/>
          <w:sz w:val="21"/>
          <w:szCs w:val="21"/>
        </w:rPr>
      </w:pPr>
      <w:r>
        <w:rPr>
          <w:rFonts w:hint="eastAsia" w:ascii="宋体" w:hAnsi="宋体" w:cs="宋体"/>
          <w:color w:val="000000"/>
          <w:sz w:val="21"/>
          <w:szCs w:val="21"/>
        </w:rPr>
        <w:t>本协议自甲、乙双方签字盖章之日起生效，代理期限至本项目采购合同签订之日止。未尽事宜，由双方协商解决。本协议一式两份，甲乙双方各执一份。</w:t>
      </w:r>
    </w:p>
    <w:p>
      <w:pPr>
        <w:tabs>
          <w:tab w:val="left" w:pos="6120"/>
        </w:tabs>
        <w:spacing w:line="480" w:lineRule="auto"/>
        <w:ind w:firstLine="562" w:firstLineChars="200"/>
        <w:rPr>
          <w:rFonts w:ascii="宋体" w:cs="宋体"/>
          <w:b/>
          <w:color w:val="000000"/>
          <w:sz w:val="28"/>
          <w:szCs w:val="28"/>
        </w:rPr>
      </w:pPr>
      <w:r>
        <w:rPr>
          <w:rFonts w:hint="eastAsia" w:ascii="宋体" w:hAnsi="宋体" w:cs="宋体"/>
          <w:b/>
          <w:color w:val="000000"/>
          <w:sz w:val="28"/>
          <w:szCs w:val="28"/>
        </w:rPr>
        <w:t>甲方：肇庆市端州区人民法院（盖章）</w:t>
      </w:r>
    </w:p>
    <w:p>
      <w:pPr>
        <w:tabs>
          <w:tab w:val="left" w:pos="6120"/>
        </w:tabs>
        <w:spacing w:line="480" w:lineRule="auto"/>
        <w:ind w:firstLine="560" w:firstLineChars="200"/>
        <w:rPr>
          <w:rFonts w:ascii="宋体" w:cs="宋体"/>
          <w:color w:val="000000"/>
          <w:sz w:val="28"/>
          <w:szCs w:val="28"/>
        </w:rPr>
      </w:pPr>
      <w:r>
        <w:rPr>
          <w:rFonts w:hint="eastAsia" w:ascii="宋体" w:hAnsi="宋体" w:cs="宋体"/>
          <w:color w:val="000000"/>
          <w:sz w:val="28"/>
          <w:szCs w:val="28"/>
        </w:rPr>
        <w:t>授权代表（签名）：</w:t>
      </w:r>
    </w:p>
    <w:p>
      <w:pPr>
        <w:tabs>
          <w:tab w:val="left" w:pos="6120"/>
        </w:tabs>
        <w:wordWrap w:val="0"/>
        <w:spacing w:line="480" w:lineRule="auto"/>
        <w:ind w:firstLine="560" w:firstLineChars="200"/>
        <w:jc w:val="right"/>
        <w:rPr>
          <w:rFonts w:ascii="宋体" w:cs="宋体"/>
          <w:b/>
          <w:color w:val="000000"/>
          <w:sz w:val="28"/>
          <w:szCs w:val="28"/>
        </w:rPr>
      </w:pP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p>
    <w:p>
      <w:pPr>
        <w:spacing w:line="480" w:lineRule="auto"/>
        <w:ind w:firstLine="562" w:firstLineChars="200"/>
        <w:rPr>
          <w:rFonts w:ascii="宋体" w:cs="宋体"/>
          <w:b/>
          <w:color w:val="000000"/>
          <w:sz w:val="28"/>
          <w:szCs w:val="28"/>
        </w:rPr>
      </w:pPr>
      <w:r>
        <w:rPr>
          <w:rFonts w:hint="eastAsia" w:ascii="宋体" w:hAnsi="宋体" w:cs="宋体"/>
          <w:b/>
          <w:color w:val="000000"/>
          <w:sz w:val="28"/>
          <w:szCs w:val="28"/>
        </w:rPr>
        <w:t>乙方：肇庆市公共资源交易中心（盖章）</w:t>
      </w:r>
    </w:p>
    <w:p>
      <w:pPr>
        <w:spacing w:line="480" w:lineRule="auto"/>
        <w:ind w:firstLine="560" w:firstLineChars="200"/>
        <w:jc w:val="left"/>
        <w:rPr>
          <w:rFonts w:ascii="宋体" w:cs="宋体"/>
          <w:color w:val="000000"/>
          <w:sz w:val="28"/>
          <w:szCs w:val="28"/>
        </w:rPr>
      </w:pPr>
      <w:r>
        <w:rPr>
          <w:rFonts w:hint="eastAsia" w:ascii="宋体" w:hAnsi="宋体" w:cs="宋体"/>
          <w:color w:val="000000"/>
          <w:sz w:val="28"/>
          <w:szCs w:val="28"/>
        </w:rPr>
        <w:t>授权代表（签名）：</w:t>
      </w:r>
      <w:bookmarkStart w:id="1" w:name="_GoBack"/>
      <w:bookmarkEnd w:id="1"/>
    </w:p>
    <w:p>
      <w:pPr>
        <w:spacing w:line="480" w:lineRule="auto"/>
        <w:ind w:firstLine="560" w:firstLineChars="200"/>
        <w:jc w:val="right"/>
        <w:rPr>
          <w:color w:val="000000"/>
        </w:rPr>
      </w:pP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850" w:h="16783"/>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t>第</w:t>
                </w:r>
                <w:r>
                  <w:t xml:space="preserve"> </w:t>
                </w:r>
                <w:r>
                  <w:fldChar w:fldCharType="begin"/>
                </w:r>
                <w:r>
                  <w:instrText xml:space="preserve"> PAGE  \* MERGEFORMAT </w:instrText>
                </w:r>
                <w:r>
                  <w:fldChar w:fldCharType="separate"/>
                </w:r>
                <w:r>
                  <w:t>3</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4</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70F"/>
    <w:rsid w:val="00006819"/>
    <w:rsid w:val="00010324"/>
    <w:rsid w:val="000228CB"/>
    <w:rsid w:val="00024BD6"/>
    <w:rsid w:val="0003145B"/>
    <w:rsid w:val="00032479"/>
    <w:rsid w:val="00035E33"/>
    <w:rsid w:val="00062C0E"/>
    <w:rsid w:val="0007057A"/>
    <w:rsid w:val="00071560"/>
    <w:rsid w:val="000B32E8"/>
    <w:rsid w:val="000D3109"/>
    <w:rsid w:val="000E595C"/>
    <w:rsid w:val="000F2CF9"/>
    <w:rsid w:val="00112CB8"/>
    <w:rsid w:val="001520E5"/>
    <w:rsid w:val="001632CD"/>
    <w:rsid w:val="001A6BE3"/>
    <w:rsid w:val="001B4804"/>
    <w:rsid w:val="001B7647"/>
    <w:rsid w:val="001B7EAD"/>
    <w:rsid w:val="001D09DA"/>
    <w:rsid w:val="001D1148"/>
    <w:rsid w:val="002145DA"/>
    <w:rsid w:val="00230024"/>
    <w:rsid w:val="00240150"/>
    <w:rsid w:val="00244B16"/>
    <w:rsid w:val="002675CC"/>
    <w:rsid w:val="002808D0"/>
    <w:rsid w:val="002942DD"/>
    <w:rsid w:val="00295C17"/>
    <w:rsid w:val="002A4E05"/>
    <w:rsid w:val="002A70B2"/>
    <w:rsid w:val="002E53A9"/>
    <w:rsid w:val="002E7E1B"/>
    <w:rsid w:val="002F6994"/>
    <w:rsid w:val="00303D62"/>
    <w:rsid w:val="00331B42"/>
    <w:rsid w:val="00333273"/>
    <w:rsid w:val="00352758"/>
    <w:rsid w:val="0039213F"/>
    <w:rsid w:val="003A547C"/>
    <w:rsid w:val="003A7EEA"/>
    <w:rsid w:val="003B25A9"/>
    <w:rsid w:val="003F4340"/>
    <w:rsid w:val="00400B17"/>
    <w:rsid w:val="0042284A"/>
    <w:rsid w:val="004303BE"/>
    <w:rsid w:val="00450B60"/>
    <w:rsid w:val="004518EB"/>
    <w:rsid w:val="00451BE1"/>
    <w:rsid w:val="004944C9"/>
    <w:rsid w:val="004B32A2"/>
    <w:rsid w:val="004B6DD9"/>
    <w:rsid w:val="004D0151"/>
    <w:rsid w:val="004E09F4"/>
    <w:rsid w:val="004E7729"/>
    <w:rsid w:val="004F09D4"/>
    <w:rsid w:val="004F1226"/>
    <w:rsid w:val="0050425F"/>
    <w:rsid w:val="005058C6"/>
    <w:rsid w:val="005142FA"/>
    <w:rsid w:val="005237AC"/>
    <w:rsid w:val="005446E0"/>
    <w:rsid w:val="00544866"/>
    <w:rsid w:val="00547433"/>
    <w:rsid w:val="005778F4"/>
    <w:rsid w:val="00581ACE"/>
    <w:rsid w:val="005824AD"/>
    <w:rsid w:val="005B01BA"/>
    <w:rsid w:val="005B528C"/>
    <w:rsid w:val="005C5A23"/>
    <w:rsid w:val="005C5AC3"/>
    <w:rsid w:val="005C5E83"/>
    <w:rsid w:val="005F3820"/>
    <w:rsid w:val="00615ABF"/>
    <w:rsid w:val="00622207"/>
    <w:rsid w:val="006416D2"/>
    <w:rsid w:val="00647310"/>
    <w:rsid w:val="00660D35"/>
    <w:rsid w:val="00661D29"/>
    <w:rsid w:val="00697350"/>
    <w:rsid w:val="006A31AD"/>
    <w:rsid w:val="006A32B5"/>
    <w:rsid w:val="006A5745"/>
    <w:rsid w:val="006A62C8"/>
    <w:rsid w:val="006D5F95"/>
    <w:rsid w:val="006E7A2F"/>
    <w:rsid w:val="00703079"/>
    <w:rsid w:val="00703149"/>
    <w:rsid w:val="00724263"/>
    <w:rsid w:val="00730CF3"/>
    <w:rsid w:val="00756BFC"/>
    <w:rsid w:val="0077570F"/>
    <w:rsid w:val="007A2ECD"/>
    <w:rsid w:val="007B3424"/>
    <w:rsid w:val="007B50E7"/>
    <w:rsid w:val="007B6A71"/>
    <w:rsid w:val="007C0FC7"/>
    <w:rsid w:val="007D7678"/>
    <w:rsid w:val="00812ED1"/>
    <w:rsid w:val="0081782D"/>
    <w:rsid w:val="00826EC3"/>
    <w:rsid w:val="00862910"/>
    <w:rsid w:val="00884EB6"/>
    <w:rsid w:val="00895833"/>
    <w:rsid w:val="008A4139"/>
    <w:rsid w:val="008A4BFC"/>
    <w:rsid w:val="008C72A7"/>
    <w:rsid w:val="008D5B12"/>
    <w:rsid w:val="008D6241"/>
    <w:rsid w:val="008D6A16"/>
    <w:rsid w:val="008E0AC3"/>
    <w:rsid w:val="008E20D6"/>
    <w:rsid w:val="0092194E"/>
    <w:rsid w:val="00936784"/>
    <w:rsid w:val="009402BD"/>
    <w:rsid w:val="0094463F"/>
    <w:rsid w:val="00944806"/>
    <w:rsid w:val="00950B18"/>
    <w:rsid w:val="0097193D"/>
    <w:rsid w:val="009822C9"/>
    <w:rsid w:val="0099715F"/>
    <w:rsid w:val="009B7512"/>
    <w:rsid w:val="00A01CA9"/>
    <w:rsid w:val="00A31635"/>
    <w:rsid w:val="00A31E17"/>
    <w:rsid w:val="00A508BA"/>
    <w:rsid w:val="00A56F7D"/>
    <w:rsid w:val="00A73301"/>
    <w:rsid w:val="00A80A67"/>
    <w:rsid w:val="00A96335"/>
    <w:rsid w:val="00AB5812"/>
    <w:rsid w:val="00AD46EB"/>
    <w:rsid w:val="00AE635F"/>
    <w:rsid w:val="00B0190C"/>
    <w:rsid w:val="00B03634"/>
    <w:rsid w:val="00B12589"/>
    <w:rsid w:val="00B202C8"/>
    <w:rsid w:val="00B2635A"/>
    <w:rsid w:val="00B409DC"/>
    <w:rsid w:val="00B67B09"/>
    <w:rsid w:val="00B849A6"/>
    <w:rsid w:val="00B95018"/>
    <w:rsid w:val="00BB1FE8"/>
    <w:rsid w:val="00BC74A6"/>
    <w:rsid w:val="00BE331E"/>
    <w:rsid w:val="00C044AA"/>
    <w:rsid w:val="00C062F8"/>
    <w:rsid w:val="00C13A2F"/>
    <w:rsid w:val="00C22F14"/>
    <w:rsid w:val="00C50A90"/>
    <w:rsid w:val="00C67E80"/>
    <w:rsid w:val="00C81002"/>
    <w:rsid w:val="00C96B6A"/>
    <w:rsid w:val="00CA6583"/>
    <w:rsid w:val="00CB6B09"/>
    <w:rsid w:val="00CC36AF"/>
    <w:rsid w:val="00CD46EE"/>
    <w:rsid w:val="00CE1111"/>
    <w:rsid w:val="00CE4935"/>
    <w:rsid w:val="00CF20D1"/>
    <w:rsid w:val="00CF670F"/>
    <w:rsid w:val="00D076F3"/>
    <w:rsid w:val="00D555CF"/>
    <w:rsid w:val="00D607F1"/>
    <w:rsid w:val="00D669E6"/>
    <w:rsid w:val="00D87D54"/>
    <w:rsid w:val="00DA0627"/>
    <w:rsid w:val="00DA7357"/>
    <w:rsid w:val="00DB1602"/>
    <w:rsid w:val="00DB5C82"/>
    <w:rsid w:val="00DB7E23"/>
    <w:rsid w:val="00DF65CF"/>
    <w:rsid w:val="00E07A5F"/>
    <w:rsid w:val="00E33008"/>
    <w:rsid w:val="00E42234"/>
    <w:rsid w:val="00E4360D"/>
    <w:rsid w:val="00E5247A"/>
    <w:rsid w:val="00E60D0D"/>
    <w:rsid w:val="00E71876"/>
    <w:rsid w:val="00E87280"/>
    <w:rsid w:val="00EA3BEA"/>
    <w:rsid w:val="00EB1D30"/>
    <w:rsid w:val="00EC329F"/>
    <w:rsid w:val="00ED2E38"/>
    <w:rsid w:val="00ED6999"/>
    <w:rsid w:val="00EE0E82"/>
    <w:rsid w:val="00F13C95"/>
    <w:rsid w:val="00F2134E"/>
    <w:rsid w:val="00F33550"/>
    <w:rsid w:val="00F45AC4"/>
    <w:rsid w:val="00F731AC"/>
    <w:rsid w:val="00F8573F"/>
    <w:rsid w:val="00F963C4"/>
    <w:rsid w:val="00FA1868"/>
    <w:rsid w:val="00FB2B19"/>
    <w:rsid w:val="00FC20DE"/>
    <w:rsid w:val="00FE3DF7"/>
    <w:rsid w:val="026A1437"/>
    <w:rsid w:val="02D447E6"/>
    <w:rsid w:val="04F526D5"/>
    <w:rsid w:val="04F544F7"/>
    <w:rsid w:val="060A0D38"/>
    <w:rsid w:val="066906D8"/>
    <w:rsid w:val="0670547F"/>
    <w:rsid w:val="06BF3643"/>
    <w:rsid w:val="0788227F"/>
    <w:rsid w:val="0AE70F2C"/>
    <w:rsid w:val="0BED7339"/>
    <w:rsid w:val="0F49619F"/>
    <w:rsid w:val="0FE60784"/>
    <w:rsid w:val="10A25D6E"/>
    <w:rsid w:val="10B978BF"/>
    <w:rsid w:val="11033175"/>
    <w:rsid w:val="117D2A94"/>
    <w:rsid w:val="12424364"/>
    <w:rsid w:val="127B477E"/>
    <w:rsid w:val="14543E24"/>
    <w:rsid w:val="15047715"/>
    <w:rsid w:val="15D93267"/>
    <w:rsid w:val="16860086"/>
    <w:rsid w:val="191F31CB"/>
    <w:rsid w:val="1B1D775A"/>
    <w:rsid w:val="1EFC36C1"/>
    <w:rsid w:val="1FB021B1"/>
    <w:rsid w:val="20234B6C"/>
    <w:rsid w:val="2245209A"/>
    <w:rsid w:val="22CD0DE4"/>
    <w:rsid w:val="22FA5B71"/>
    <w:rsid w:val="23B63D70"/>
    <w:rsid w:val="24AA6EF2"/>
    <w:rsid w:val="28485DA6"/>
    <w:rsid w:val="28AB7E55"/>
    <w:rsid w:val="29EC17D9"/>
    <w:rsid w:val="2A8F7079"/>
    <w:rsid w:val="2C214469"/>
    <w:rsid w:val="2DDA6326"/>
    <w:rsid w:val="2E206CE0"/>
    <w:rsid w:val="2E5C51CB"/>
    <w:rsid w:val="30DC61A7"/>
    <w:rsid w:val="31870992"/>
    <w:rsid w:val="3199614E"/>
    <w:rsid w:val="31A0226A"/>
    <w:rsid w:val="32B17A38"/>
    <w:rsid w:val="3462279D"/>
    <w:rsid w:val="3761380F"/>
    <w:rsid w:val="37B92198"/>
    <w:rsid w:val="37D4147C"/>
    <w:rsid w:val="3B405B93"/>
    <w:rsid w:val="3C1362D9"/>
    <w:rsid w:val="3CF37426"/>
    <w:rsid w:val="3DF54B0E"/>
    <w:rsid w:val="3F9C03CE"/>
    <w:rsid w:val="41477116"/>
    <w:rsid w:val="416E3358"/>
    <w:rsid w:val="43716BFE"/>
    <w:rsid w:val="47071050"/>
    <w:rsid w:val="47BE39F1"/>
    <w:rsid w:val="48C113ED"/>
    <w:rsid w:val="49AF6F30"/>
    <w:rsid w:val="49D11C72"/>
    <w:rsid w:val="4CED637D"/>
    <w:rsid w:val="4D43674A"/>
    <w:rsid w:val="4D7F11D9"/>
    <w:rsid w:val="4FEA236C"/>
    <w:rsid w:val="502F71A3"/>
    <w:rsid w:val="504A70AE"/>
    <w:rsid w:val="50964C87"/>
    <w:rsid w:val="52393C5C"/>
    <w:rsid w:val="55C81342"/>
    <w:rsid w:val="55EB6982"/>
    <w:rsid w:val="58681C68"/>
    <w:rsid w:val="5994336E"/>
    <w:rsid w:val="59CB1484"/>
    <w:rsid w:val="5A617691"/>
    <w:rsid w:val="5D160FA7"/>
    <w:rsid w:val="5F6D5B36"/>
    <w:rsid w:val="605F0408"/>
    <w:rsid w:val="61C269E5"/>
    <w:rsid w:val="63A07973"/>
    <w:rsid w:val="66576E55"/>
    <w:rsid w:val="67212929"/>
    <w:rsid w:val="685533F1"/>
    <w:rsid w:val="6AE96F78"/>
    <w:rsid w:val="6DBB6209"/>
    <w:rsid w:val="713902CF"/>
    <w:rsid w:val="74DC152F"/>
    <w:rsid w:val="74F70081"/>
    <w:rsid w:val="75355623"/>
    <w:rsid w:val="75A650DD"/>
    <w:rsid w:val="77312EF8"/>
    <w:rsid w:val="77A25DB2"/>
    <w:rsid w:val="78C3154B"/>
    <w:rsid w:val="78D96E5A"/>
    <w:rsid w:val="7A447EA8"/>
    <w:rsid w:val="7BBC24DC"/>
    <w:rsid w:val="7D74168F"/>
    <w:rsid w:val="7D767F88"/>
    <w:rsid w:val="7F5B22E6"/>
    <w:rsid w:val="7FE163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locked/>
    <w:uiPriority w:val="99"/>
    <w:pPr>
      <w:spacing w:beforeAutospacing="1" w:afterAutospacing="1"/>
      <w:jc w:val="left"/>
      <w:outlineLvl w:val="1"/>
    </w:pPr>
    <w:rPr>
      <w:rFonts w:ascii="宋体" w:hAnsi="宋体"/>
      <w:b/>
      <w:kern w:val="0"/>
      <w:sz w:val="36"/>
      <w:szCs w:val="36"/>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99"/>
    <w:pPr>
      <w:spacing w:after="120"/>
      <w:ind w:left="420" w:leftChars="200"/>
    </w:pPr>
    <w:rPr>
      <w:sz w:val="24"/>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99"/>
    <w:rPr>
      <w:rFonts w:cs="Times New Roman"/>
      <w:b/>
    </w:rPr>
  </w:style>
  <w:style w:type="character" w:styleId="9">
    <w:name w:val="FollowedHyperlink"/>
    <w:basedOn w:val="7"/>
    <w:qFormat/>
    <w:uiPriority w:val="99"/>
    <w:rPr>
      <w:rFonts w:cs="Times New Roman"/>
      <w:color w:val="313E3E"/>
      <w:u w:val="none"/>
    </w:rPr>
  </w:style>
  <w:style w:type="character" w:styleId="10">
    <w:name w:val="Hyperlink"/>
    <w:basedOn w:val="7"/>
    <w:qFormat/>
    <w:uiPriority w:val="99"/>
    <w:rPr>
      <w:rFonts w:cs="Times New Roman"/>
      <w:color w:val="313E3E"/>
      <w:sz w:val="18"/>
      <w:szCs w:val="18"/>
      <w:u w:val="none"/>
    </w:rPr>
  </w:style>
  <w:style w:type="character" w:customStyle="1" w:styleId="11">
    <w:name w:val="Heading 2 Char"/>
    <w:basedOn w:val="7"/>
    <w:link w:val="2"/>
    <w:semiHidden/>
    <w:qFormat/>
    <w:locked/>
    <w:uiPriority w:val="99"/>
    <w:rPr>
      <w:rFonts w:ascii="Cambria" w:hAnsi="Cambria" w:eastAsia="宋体" w:cs="Times New Roman"/>
      <w:b/>
      <w:bCs/>
      <w:sz w:val="32"/>
      <w:szCs w:val="32"/>
    </w:rPr>
  </w:style>
  <w:style w:type="character" w:customStyle="1" w:styleId="12">
    <w:name w:val="Body Text Indent Char"/>
    <w:basedOn w:val="7"/>
    <w:link w:val="3"/>
    <w:semiHidden/>
    <w:qFormat/>
    <w:locked/>
    <w:uiPriority w:val="99"/>
    <w:rPr>
      <w:rFonts w:cs="Times New Roman"/>
      <w:sz w:val="24"/>
      <w:szCs w:val="24"/>
    </w:rPr>
  </w:style>
  <w:style w:type="character" w:customStyle="1" w:styleId="13">
    <w:name w:val="Footer Char"/>
    <w:basedOn w:val="7"/>
    <w:link w:val="4"/>
    <w:semiHidden/>
    <w:qFormat/>
    <w:locked/>
    <w:uiPriority w:val="99"/>
    <w:rPr>
      <w:rFonts w:cs="Times New Roman"/>
      <w:sz w:val="18"/>
      <w:szCs w:val="18"/>
    </w:rPr>
  </w:style>
  <w:style w:type="character" w:customStyle="1" w:styleId="14">
    <w:name w:val="Header Char"/>
    <w:basedOn w:val="7"/>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318</Words>
  <Characters>1817</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市交易中心-梁智星</cp:lastModifiedBy>
  <dcterms:modified xsi:type="dcterms:W3CDTF">2021-07-09T07:01:53Z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44ACD8683B9C49E1B767CB2352AC5C7A</vt:lpwstr>
  </property>
</Properties>
</file>