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cs="Times New Roman"/>
          <w:spacing w:val="40"/>
          <w:sz w:val="44"/>
          <w:szCs w:val="44"/>
        </w:rPr>
      </w:pPr>
      <w:r>
        <w:rPr>
          <w:rFonts w:hint="eastAsia" w:ascii="黑体" w:hAnsi="黑体" w:eastAsia="黑体" w:cs="Times New Roman"/>
          <w:spacing w:val="40"/>
          <w:sz w:val="44"/>
          <w:szCs w:val="44"/>
        </w:rPr>
        <w:t>广东南岭国家级自然保护区管理局</w:t>
      </w:r>
    </w:p>
    <w:p>
      <w:pPr>
        <w:widowControl/>
        <w:jc w:val="left"/>
        <w:rPr>
          <w:rFonts w:ascii="黑体" w:hAnsi="黑体" w:eastAsia="黑体" w:cs="Times New Roman"/>
          <w:spacing w:val="40"/>
          <w:sz w:val="44"/>
          <w:szCs w:val="44"/>
        </w:rPr>
      </w:pPr>
    </w:p>
    <w:p>
      <w:pPr>
        <w:jc w:val="center"/>
        <w:outlineLvl w:val="0"/>
        <w:rPr>
          <w:rFonts w:ascii="黑体" w:hAnsi="黑体" w:eastAsia="黑体" w:cs="Times New Roman"/>
          <w:spacing w:val="40"/>
          <w:sz w:val="44"/>
          <w:szCs w:val="44"/>
        </w:rPr>
      </w:pPr>
      <w:r>
        <w:rPr>
          <w:rFonts w:hint="eastAsia" w:ascii="黑体" w:hAnsi="黑体" w:eastAsia="黑体" w:cs="Times New Roman"/>
          <w:spacing w:val="40"/>
          <w:sz w:val="44"/>
          <w:szCs w:val="44"/>
        </w:rPr>
        <w:t>用户需求书</w:t>
      </w:r>
    </w:p>
    <w:p>
      <w:pPr>
        <w:jc w:val="left"/>
        <w:rPr>
          <w:rFonts w:ascii="黑体" w:hAnsi="黑体" w:eastAsia="黑体" w:cs="Times New Roman"/>
          <w:spacing w:val="40"/>
          <w:sz w:val="32"/>
          <w:szCs w:val="32"/>
        </w:rPr>
      </w:pPr>
    </w:p>
    <w:p>
      <w:pPr>
        <w:jc w:val="left"/>
        <w:rPr>
          <w:rFonts w:ascii="黑体" w:hAnsi="黑体" w:eastAsia="黑体" w:cs="Times New Roman"/>
          <w:spacing w:val="40"/>
          <w:sz w:val="32"/>
          <w:szCs w:val="32"/>
        </w:rPr>
      </w:pPr>
    </w:p>
    <w:p>
      <w:pPr>
        <w:jc w:val="left"/>
        <w:rPr>
          <w:rFonts w:ascii="黑体" w:hAnsi="黑体" w:eastAsia="黑体" w:cs="Times New Roman"/>
          <w:spacing w:val="40"/>
          <w:sz w:val="32"/>
          <w:szCs w:val="32"/>
        </w:rPr>
      </w:pPr>
    </w:p>
    <w:p>
      <w:pPr>
        <w:jc w:val="left"/>
        <w:rPr>
          <w:rFonts w:ascii="黑体" w:hAnsi="黑体" w:eastAsia="黑体" w:cs="Times New Roman"/>
          <w:spacing w:val="40"/>
          <w:sz w:val="32"/>
          <w:szCs w:val="32"/>
        </w:rPr>
      </w:pPr>
    </w:p>
    <w:p>
      <w:pPr>
        <w:jc w:val="left"/>
        <w:rPr>
          <w:rFonts w:ascii="黑体" w:hAnsi="黑体" w:eastAsia="黑体" w:cs="Times New Roman"/>
          <w:spacing w:val="40"/>
          <w:sz w:val="32"/>
          <w:szCs w:val="32"/>
        </w:rPr>
      </w:pPr>
    </w:p>
    <w:p>
      <w:pPr>
        <w:jc w:val="left"/>
        <w:rPr>
          <w:rFonts w:ascii="黑体" w:hAnsi="黑体" w:eastAsia="黑体" w:cs="Times New Roman"/>
          <w:spacing w:val="40"/>
          <w:sz w:val="32"/>
          <w:szCs w:val="32"/>
        </w:rPr>
      </w:pPr>
    </w:p>
    <w:p>
      <w:pPr>
        <w:jc w:val="left"/>
        <w:rPr>
          <w:rFonts w:ascii="黑体" w:hAnsi="黑体" w:eastAsia="黑体" w:cs="Times New Roman"/>
          <w:spacing w:val="40"/>
          <w:sz w:val="32"/>
          <w:szCs w:val="32"/>
        </w:rPr>
      </w:pPr>
      <w:r>
        <w:rPr>
          <w:rFonts w:hint="eastAsia" w:ascii="黑体" w:hAnsi="黑体" w:eastAsia="黑体" w:cs="Times New Roman"/>
          <w:spacing w:val="40"/>
          <w:sz w:val="32"/>
          <w:szCs w:val="32"/>
        </w:rPr>
        <w:t>项目名称：</w:t>
      </w:r>
      <w:r>
        <w:rPr>
          <w:rFonts w:hint="eastAsia" w:ascii="宋体" w:hAnsi="宋体" w:eastAsia="宋体" w:cs="宋体"/>
          <w:b/>
          <w:bCs/>
          <w:sz w:val="30"/>
          <w:szCs w:val="30"/>
          <w:u w:val="single"/>
          <w:lang w:eastAsia="zh-CN"/>
        </w:rPr>
        <w:t>南岭石坑崆道路生态脆弱性与地质灾害调查项目</w:t>
      </w:r>
    </w:p>
    <w:p>
      <w:pPr>
        <w:jc w:val="center"/>
        <w:rPr>
          <w:rFonts w:ascii="仿宋" w:hAnsi="仿宋" w:eastAsia="仿宋" w:cs="Times New Roman"/>
          <w:spacing w:val="40"/>
          <w:sz w:val="32"/>
          <w:szCs w:val="32"/>
        </w:rPr>
      </w:pPr>
    </w:p>
    <w:p>
      <w:pPr>
        <w:rPr>
          <w:rFonts w:ascii="仿宋" w:hAnsi="仿宋" w:eastAsia="仿宋" w:cs="Times New Roman"/>
          <w:spacing w:val="40"/>
          <w:sz w:val="32"/>
          <w:szCs w:val="32"/>
        </w:rPr>
        <w:sectPr>
          <w:footerReference r:id="rId3" w:type="default"/>
          <w:footerReference r:id="rId4" w:type="even"/>
          <w:pgSz w:w="11906" w:h="16838"/>
          <w:pgMar w:top="1474" w:right="1134" w:bottom="1134" w:left="1361" w:header="851" w:footer="851" w:gutter="0"/>
          <w:cols w:space="425" w:num="1"/>
          <w:titlePg/>
          <w:docGrid w:type="lines" w:linePitch="312" w:charSpace="0"/>
        </w:sectPr>
      </w:pPr>
    </w:p>
    <w:p>
      <w:pPr>
        <w:spacing w:line="360" w:lineRule="auto"/>
        <w:rPr>
          <w:rFonts w:hint="eastAsia" w:ascii="宋体" w:hAnsi="宋体" w:eastAsiaTheme="minorEastAsia"/>
          <w:b/>
          <w:snapToGrid w:val="0"/>
          <w:spacing w:val="8"/>
          <w:szCs w:val="21"/>
          <w:lang w:eastAsia="zh-CN"/>
        </w:rPr>
      </w:pPr>
      <w:r>
        <w:rPr>
          <w:rFonts w:hint="eastAsia" w:ascii="宋体" w:hAnsi="宋体"/>
          <w:b/>
          <w:szCs w:val="21"/>
        </w:rPr>
        <w:t>注:Ⅰ.本项目要求的指标中，标注有“★”的条款必须实质性响应（满足或优于），投标人要特别加以注意，必须对此作出响应，负偏离（或不响应）将导致投标无效。</w:t>
      </w:r>
      <w:r>
        <w:rPr>
          <w:rFonts w:hint="eastAsia" w:ascii="宋体" w:hAnsi="宋体"/>
          <w:b/>
          <w:snapToGrid w:val="0"/>
          <w:spacing w:val="8"/>
          <w:szCs w:val="21"/>
        </w:rPr>
        <w:t>凡标有“▲”的参数不满足将导致严重扣分</w:t>
      </w:r>
      <w:r>
        <w:rPr>
          <w:rFonts w:hint="eastAsia" w:ascii="宋体" w:hAnsi="宋体"/>
          <w:b/>
          <w:snapToGrid w:val="0"/>
          <w:spacing w:val="8"/>
          <w:szCs w:val="21"/>
          <w:lang w:eastAsia="zh-CN"/>
        </w:rPr>
        <w:t>，但不作为无效投标条款。</w:t>
      </w:r>
    </w:p>
    <w:p>
      <w:pPr>
        <w:keepNext w:val="0"/>
        <w:keepLines w:val="0"/>
        <w:widowControl/>
        <w:suppressLineNumbers w:val="0"/>
        <w:jc w:val="left"/>
        <w:rPr>
          <w:rFonts w:hint="eastAsia" w:ascii="宋体" w:hAnsi="宋体"/>
          <w:b/>
          <w:szCs w:val="21"/>
          <w:lang w:val="en-US" w:eastAsia="zh-CN"/>
        </w:rPr>
      </w:pPr>
    </w:p>
    <w:p>
      <w:pPr>
        <w:keepNext w:val="0"/>
        <w:keepLines w:val="0"/>
        <w:widowControl/>
        <w:suppressLineNumbers w:val="0"/>
        <w:spacing w:line="360" w:lineRule="auto"/>
        <w:jc w:val="left"/>
      </w:pPr>
      <w:r>
        <w:rPr>
          <w:rFonts w:hint="eastAsia" w:ascii="宋体" w:hAnsi="宋体"/>
          <w:b/>
          <w:szCs w:val="21"/>
          <w:lang w:val="en-US" w:eastAsia="zh-CN"/>
        </w:rPr>
        <w:t>一、项目概述</w:t>
      </w:r>
      <w:r>
        <w:rPr>
          <w:rFonts w:ascii="仿宋_GB2312" w:hAnsi="仿宋_GB2312" w:eastAsia="仿宋_GB2312" w:cs="仿宋_GB2312"/>
          <w:b/>
          <w:bCs/>
          <w:color w:val="000000"/>
          <w:kern w:val="0"/>
          <w:sz w:val="31"/>
          <w:szCs w:val="31"/>
          <w:lang w:val="en-US" w:eastAsia="zh-CN" w:bidi="ar"/>
        </w:rPr>
        <w:t xml:space="preserve"> </w:t>
      </w:r>
    </w:p>
    <w:tbl>
      <w:tblPr>
        <w:tblStyle w:val="12"/>
        <w:tblW w:w="851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930"/>
        <w:gridCol w:w="1104"/>
        <w:gridCol w:w="24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3" w:hRule="atLeast"/>
          <w:jc w:val="center"/>
        </w:trPr>
        <w:tc>
          <w:tcPr>
            <w:tcW w:w="4930" w:type="dxa"/>
            <w:shd w:val="clear" w:color="auto" w:fill="EEECE1"/>
            <w:vAlign w:val="center"/>
          </w:tcPr>
          <w:p>
            <w:pPr>
              <w:snapToGrid w:val="0"/>
              <w:jc w:val="center"/>
              <w:rPr>
                <w:rFonts w:ascii="宋体" w:hAnsi="宋体" w:cs="宋体"/>
                <w:b/>
                <w:szCs w:val="21"/>
              </w:rPr>
            </w:pPr>
            <w:r>
              <w:rPr>
                <w:rFonts w:hint="eastAsia" w:ascii="宋体" w:hAnsi="宋体" w:cs="宋体"/>
                <w:b/>
                <w:szCs w:val="21"/>
              </w:rPr>
              <w:t>采购内容</w:t>
            </w:r>
          </w:p>
        </w:tc>
        <w:tc>
          <w:tcPr>
            <w:tcW w:w="1104" w:type="dxa"/>
            <w:shd w:val="clear" w:color="auto" w:fill="EEECE1"/>
            <w:vAlign w:val="center"/>
          </w:tcPr>
          <w:p>
            <w:pPr>
              <w:snapToGrid w:val="0"/>
              <w:jc w:val="center"/>
              <w:rPr>
                <w:rFonts w:ascii="宋体" w:hAnsi="宋体" w:cs="宋体"/>
                <w:b/>
                <w:szCs w:val="21"/>
              </w:rPr>
            </w:pPr>
            <w:r>
              <w:rPr>
                <w:rFonts w:hint="eastAsia" w:ascii="宋体" w:hAnsi="宋体" w:cs="宋体"/>
                <w:b/>
                <w:szCs w:val="21"/>
              </w:rPr>
              <w:t>数量</w:t>
            </w:r>
          </w:p>
        </w:tc>
        <w:tc>
          <w:tcPr>
            <w:tcW w:w="2484" w:type="dxa"/>
            <w:shd w:val="clear" w:color="auto" w:fill="EEECE1"/>
          </w:tcPr>
          <w:p>
            <w:pPr>
              <w:snapToGrid w:val="0"/>
              <w:jc w:val="center"/>
              <w:rPr>
                <w:rFonts w:hint="eastAsia" w:ascii="宋体" w:hAnsi="宋体" w:cs="宋体"/>
                <w:b/>
                <w:szCs w:val="21"/>
                <w:lang w:eastAsia="zh-CN"/>
              </w:rPr>
            </w:pPr>
            <w:r>
              <w:rPr>
                <w:rFonts w:hint="eastAsia" w:ascii="宋体" w:hAnsi="宋体" w:cs="宋体"/>
                <w:b/>
                <w:szCs w:val="21"/>
                <w:lang w:eastAsia="zh-CN"/>
              </w:rPr>
              <w:t>最高限价</w:t>
            </w:r>
          </w:p>
          <w:p>
            <w:pPr>
              <w:snapToGrid w:val="0"/>
              <w:jc w:val="center"/>
              <w:rPr>
                <w:rFonts w:ascii="宋体" w:hAnsi="宋体" w:cs="宋体"/>
                <w:b/>
                <w:szCs w:val="21"/>
              </w:rPr>
            </w:pPr>
            <w:r>
              <w:rPr>
                <w:rFonts w:hint="eastAsia" w:ascii="宋体" w:hAnsi="宋体" w:cs="宋体"/>
                <w:b/>
                <w:szCs w:val="21"/>
              </w:rPr>
              <w:t>（人民币 /元）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16" w:hRule="atLeast"/>
          <w:jc w:val="center"/>
        </w:trPr>
        <w:tc>
          <w:tcPr>
            <w:tcW w:w="4930" w:type="dxa"/>
            <w:vAlign w:val="center"/>
          </w:tcPr>
          <w:p>
            <w:pPr>
              <w:snapToGrid w:val="0"/>
              <w:jc w:val="center"/>
              <w:rPr>
                <w:rFonts w:ascii="宋体" w:hAnsi="宋体" w:cs="宋体"/>
                <w:bCs/>
                <w:szCs w:val="21"/>
              </w:rPr>
            </w:pPr>
            <w:r>
              <w:rPr>
                <w:rFonts w:hint="eastAsia" w:ascii="宋体" w:hAnsi="宋体" w:cs="宋体"/>
                <w:bCs/>
                <w:szCs w:val="21"/>
                <w:lang w:eastAsia="zh-CN"/>
              </w:rPr>
              <w:t>南岭石坑崆道路生态脆弱性与地质灾害调查项目</w:t>
            </w:r>
          </w:p>
        </w:tc>
        <w:tc>
          <w:tcPr>
            <w:tcW w:w="1104" w:type="dxa"/>
            <w:vAlign w:val="center"/>
          </w:tcPr>
          <w:p>
            <w:pPr>
              <w:snapToGrid w:val="0"/>
              <w:jc w:val="center"/>
              <w:rPr>
                <w:rFonts w:hint="eastAsia" w:ascii="宋体" w:hAnsi="宋体" w:cs="宋体" w:eastAsiaTheme="minorEastAsia"/>
                <w:bCs/>
                <w:szCs w:val="21"/>
                <w:lang w:eastAsia="zh-CN"/>
              </w:rPr>
            </w:pPr>
            <w:r>
              <w:rPr>
                <w:rFonts w:hint="eastAsia" w:ascii="宋体" w:hAnsi="宋体" w:cs="宋体"/>
                <w:bCs/>
                <w:szCs w:val="21"/>
              </w:rPr>
              <w:t>1</w:t>
            </w:r>
            <w:r>
              <w:rPr>
                <w:rFonts w:hint="eastAsia" w:ascii="宋体" w:hAnsi="宋体" w:cs="宋体"/>
                <w:bCs/>
                <w:szCs w:val="21"/>
                <w:lang w:eastAsia="zh-CN"/>
              </w:rPr>
              <w:t>项</w:t>
            </w:r>
          </w:p>
        </w:tc>
        <w:tc>
          <w:tcPr>
            <w:tcW w:w="2484"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956,100.00</w:t>
            </w:r>
          </w:p>
        </w:tc>
      </w:tr>
    </w:tbl>
    <w:p>
      <w:pPr>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sz w:val="21"/>
          <w:szCs w:val="21"/>
        </w:rPr>
      </w:pPr>
    </w:p>
    <w:p>
      <w:pPr>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本项目</w:t>
      </w:r>
      <w:r>
        <w:rPr>
          <w:rFonts w:hint="eastAsia" w:ascii="宋体" w:hAnsi="宋体" w:eastAsia="宋体" w:cs="宋体"/>
          <w:sz w:val="21"/>
          <w:szCs w:val="21"/>
          <w:lang w:eastAsia="zh-CN"/>
        </w:rPr>
        <w:t>实施</w:t>
      </w:r>
      <w:r>
        <w:rPr>
          <w:rFonts w:hint="eastAsia" w:ascii="宋体" w:hAnsi="宋体" w:eastAsia="宋体" w:cs="宋体"/>
          <w:sz w:val="21"/>
          <w:szCs w:val="21"/>
        </w:rPr>
        <w:t>范围</w:t>
      </w:r>
      <w:r>
        <w:rPr>
          <w:rFonts w:hint="eastAsia" w:ascii="宋体" w:hAnsi="宋体" w:eastAsia="宋体" w:cs="宋体"/>
          <w:sz w:val="21"/>
          <w:szCs w:val="21"/>
          <w:lang w:eastAsia="zh-CN"/>
        </w:rPr>
        <w:t>主要包括</w:t>
      </w:r>
      <w:r>
        <w:rPr>
          <w:rFonts w:hint="eastAsia" w:ascii="宋体" w:hAnsi="宋体" w:eastAsia="宋体" w:cs="宋体"/>
          <w:sz w:val="21"/>
          <w:szCs w:val="21"/>
        </w:rPr>
        <w:t>通往广东第一峰</w:t>
      </w:r>
      <w:r>
        <w:rPr>
          <w:rFonts w:hint="eastAsia" w:ascii="宋体" w:hAnsi="宋体" w:eastAsia="宋体" w:cs="宋体"/>
          <w:sz w:val="21"/>
          <w:szCs w:val="21"/>
          <w:lang w:eastAsia="zh-CN"/>
        </w:rPr>
        <w:t>—</w:t>
      </w:r>
      <w:r>
        <w:rPr>
          <w:rFonts w:hint="eastAsia" w:ascii="宋体" w:hAnsi="宋体" w:eastAsia="宋体" w:cs="宋体"/>
          <w:sz w:val="21"/>
          <w:szCs w:val="21"/>
        </w:rPr>
        <w:t>石坑崆的</w:t>
      </w:r>
      <w:r>
        <w:rPr>
          <w:rFonts w:hint="eastAsia" w:ascii="宋体" w:hAnsi="宋体" w:eastAsia="宋体" w:cs="宋体"/>
          <w:sz w:val="21"/>
          <w:szCs w:val="21"/>
          <w:lang w:eastAsia="zh-CN"/>
        </w:rPr>
        <w:t>主干道</w:t>
      </w:r>
      <w:r>
        <w:rPr>
          <w:rFonts w:hint="eastAsia" w:ascii="宋体" w:hAnsi="宋体" w:eastAsia="宋体" w:cs="宋体"/>
          <w:sz w:val="21"/>
          <w:szCs w:val="21"/>
        </w:rPr>
        <w:t>以及</w:t>
      </w:r>
      <w:r>
        <w:rPr>
          <w:rFonts w:hint="eastAsia" w:ascii="宋体" w:hAnsi="宋体" w:eastAsia="宋体" w:cs="宋体"/>
          <w:sz w:val="21"/>
          <w:szCs w:val="21"/>
          <w:lang w:eastAsia="zh-CN"/>
        </w:rPr>
        <w:t>道路边坡区域</w:t>
      </w:r>
      <w:r>
        <w:rPr>
          <w:rFonts w:hint="eastAsia" w:ascii="宋体" w:hAnsi="宋体" w:eastAsia="宋体" w:cs="宋体"/>
          <w:sz w:val="21"/>
          <w:szCs w:val="21"/>
        </w:rPr>
        <w:t>。</w:t>
      </w:r>
      <w:r>
        <w:rPr>
          <w:rFonts w:hint="eastAsia" w:ascii="宋体" w:hAnsi="宋体" w:eastAsia="宋体" w:cs="宋体"/>
          <w:sz w:val="21"/>
          <w:szCs w:val="21"/>
          <w:lang w:eastAsia="zh-CN"/>
        </w:rPr>
        <w:t>该条</w:t>
      </w:r>
      <w:r>
        <w:rPr>
          <w:rFonts w:hint="eastAsia" w:ascii="宋体" w:hAnsi="宋体" w:eastAsia="宋体" w:cs="宋体"/>
          <w:sz w:val="21"/>
          <w:szCs w:val="21"/>
        </w:rPr>
        <w:t>公路的</w:t>
      </w:r>
      <w:r>
        <w:rPr>
          <w:rFonts w:hint="eastAsia" w:ascii="宋体" w:hAnsi="宋体" w:eastAsia="宋体" w:cs="宋体"/>
          <w:sz w:val="21"/>
          <w:szCs w:val="21"/>
          <w:lang w:eastAsia="zh-CN"/>
        </w:rPr>
        <w:t>修建</w:t>
      </w:r>
      <w:r>
        <w:rPr>
          <w:rFonts w:hint="eastAsia" w:ascii="宋体" w:hAnsi="宋体" w:eastAsia="宋体" w:cs="宋体"/>
          <w:sz w:val="21"/>
          <w:szCs w:val="21"/>
        </w:rPr>
        <w:t>，虽有</w:t>
      </w:r>
      <w:r>
        <w:rPr>
          <w:rFonts w:hint="eastAsia" w:ascii="宋体" w:hAnsi="宋体" w:eastAsia="宋体" w:cs="宋体"/>
          <w:sz w:val="21"/>
          <w:szCs w:val="21"/>
          <w:lang w:eastAsia="zh-CN"/>
        </w:rPr>
        <w:t>森林资源管护和防火通道的便利</w:t>
      </w:r>
      <w:r>
        <w:rPr>
          <w:rFonts w:hint="eastAsia" w:ascii="宋体" w:hAnsi="宋体" w:eastAsia="宋体" w:cs="宋体"/>
          <w:sz w:val="21"/>
          <w:szCs w:val="21"/>
        </w:rPr>
        <w:t>，却也为生物入侵等带来了危害和隐患。公路建设</w:t>
      </w:r>
      <w:r>
        <w:rPr>
          <w:rFonts w:hint="eastAsia" w:ascii="宋体" w:hAnsi="宋体" w:eastAsia="宋体" w:cs="宋体"/>
          <w:sz w:val="21"/>
          <w:szCs w:val="21"/>
          <w:lang w:eastAsia="zh-CN"/>
        </w:rPr>
        <w:t>过程中</w:t>
      </w:r>
      <w:r>
        <w:rPr>
          <w:rFonts w:hint="eastAsia" w:ascii="宋体" w:hAnsi="宋体" w:eastAsia="宋体" w:cs="宋体"/>
          <w:sz w:val="21"/>
          <w:szCs w:val="21"/>
        </w:rPr>
        <w:t>形成了很多挖方边坡，生态影响大，景观破坏严重。由于项目所在地为生态脆弱区，海拔高、海拔跨度大、坡度陡、岩石风化度高、土层薄、易淋溶、松动石块常构成安全隐患、立地条件差、植物生长环境恶劣，</w:t>
      </w:r>
      <w:r>
        <w:rPr>
          <w:rFonts w:hint="eastAsia" w:ascii="宋体" w:hAnsi="宋体" w:eastAsia="宋体" w:cs="宋体"/>
          <w:sz w:val="21"/>
          <w:szCs w:val="21"/>
          <w:lang w:eastAsia="zh-CN"/>
        </w:rPr>
        <w:t>虽然经过了将近十年的人工修复和</w:t>
      </w:r>
      <w:r>
        <w:rPr>
          <w:rFonts w:hint="eastAsia" w:ascii="宋体" w:hAnsi="宋体" w:eastAsia="宋体" w:cs="宋体"/>
          <w:sz w:val="21"/>
          <w:szCs w:val="21"/>
        </w:rPr>
        <w:t>自然</w:t>
      </w:r>
      <w:r>
        <w:rPr>
          <w:rFonts w:hint="eastAsia" w:ascii="宋体" w:hAnsi="宋体" w:eastAsia="宋体" w:cs="宋体"/>
          <w:sz w:val="21"/>
          <w:szCs w:val="21"/>
          <w:lang w:eastAsia="zh-CN"/>
        </w:rPr>
        <w:t>生态</w:t>
      </w:r>
      <w:r>
        <w:rPr>
          <w:rFonts w:hint="eastAsia" w:ascii="宋体" w:hAnsi="宋体" w:eastAsia="宋体" w:cs="宋体"/>
          <w:sz w:val="21"/>
          <w:szCs w:val="21"/>
        </w:rPr>
        <w:t>恢复，</w:t>
      </w:r>
      <w:r>
        <w:rPr>
          <w:rFonts w:hint="eastAsia" w:ascii="宋体" w:hAnsi="宋体" w:eastAsia="宋体" w:cs="宋体"/>
          <w:sz w:val="21"/>
          <w:szCs w:val="21"/>
          <w:lang w:eastAsia="zh-CN"/>
        </w:rPr>
        <w:t>但一些地段还是存在地质隐患或植被稀少、难以恢复的情况。</w:t>
      </w:r>
    </w:p>
    <w:p>
      <w:pPr>
        <w:numPr>
          <w:ilvl w:val="0"/>
          <w:numId w:val="0"/>
        </w:numPr>
        <w:spacing w:line="360" w:lineRule="auto"/>
        <w:ind w:firstLine="420" w:firstLineChars="200"/>
        <w:rPr>
          <w:rFonts w:hint="eastAsia" w:ascii="宋体" w:hAnsi="宋体" w:eastAsia="宋体" w:cs="宋体"/>
          <w:b/>
          <w:bCs/>
          <w:sz w:val="21"/>
          <w:szCs w:val="21"/>
          <w:lang w:eastAsia="zh-CN"/>
        </w:rPr>
      </w:pPr>
      <w:r>
        <w:rPr>
          <w:rFonts w:hint="eastAsia" w:ascii="宋体" w:hAnsi="宋体" w:eastAsia="宋体" w:cs="宋体"/>
          <w:sz w:val="21"/>
          <w:szCs w:val="21"/>
          <w:lang w:eastAsia="zh-CN"/>
        </w:rPr>
        <w:t>该</w:t>
      </w:r>
      <w:r>
        <w:rPr>
          <w:rFonts w:hint="eastAsia" w:ascii="宋体" w:hAnsi="宋体" w:eastAsia="宋体" w:cs="宋体"/>
          <w:sz w:val="21"/>
          <w:szCs w:val="21"/>
        </w:rPr>
        <w:t>项目主要针对南岭石坑崆8公里道路沿线的生态环境现状，生态受损程度</w:t>
      </w:r>
      <w:r>
        <w:rPr>
          <w:rFonts w:hint="eastAsia" w:ascii="宋体" w:hAnsi="宋体" w:eastAsia="宋体" w:cs="宋体"/>
          <w:sz w:val="21"/>
          <w:szCs w:val="21"/>
          <w:lang w:eastAsia="zh-CN"/>
        </w:rPr>
        <w:t>、</w:t>
      </w:r>
      <w:r>
        <w:rPr>
          <w:rFonts w:hint="eastAsia" w:ascii="宋体" w:hAnsi="宋体" w:eastAsia="宋体" w:cs="宋体"/>
          <w:sz w:val="21"/>
          <w:szCs w:val="21"/>
        </w:rPr>
        <w:t>造成受损的生态胁迫因子</w:t>
      </w:r>
      <w:r>
        <w:rPr>
          <w:rFonts w:hint="eastAsia" w:ascii="宋体" w:hAnsi="宋体" w:eastAsia="宋体" w:cs="宋体"/>
          <w:sz w:val="21"/>
          <w:szCs w:val="21"/>
          <w:lang w:eastAsia="zh-CN"/>
        </w:rPr>
        <w:t>以及地质灾害状况开展调查和评估</w:t>
      </w:r>
      <w:r>
        <w:rPr>
          <w:rFonts w:hint="eastAsia" w:ascii="宋体" w:hAnsi="宋体" w:eastAsia="宋体" w:cs="宋体"/>
          <w:sz w:val="21"/>
          <w:szCs w:val="21"/>
        </w:rPr>
        <w:t>，从而为沿线各段</w:t>
      </w:r>
      <w:r>
        <w:rPr>
          <w:rFonts w:hint="eastAsia" w:ascii="宋体" w:hAnsi="宋体" w:eastAsia="宋体" w:cs="宋体"/>
          <w:sz w:val="21"/>
          <w:szCs w:val="21"/>
          <w:lang w:eastAsia="zh-CN"/>
        </w:rPr>
        <w:t>后期</w:t>
      </w:r>
      <w:r>
        <w:rPr>
          <w:rFonts w:hint="eastAsia" w:ascii="宋体" w:hAnsi="宋体" w:eastAsia="宋体" w:cs="宋体"/>
          <w:sz w:val="21"/>
          <w:szCs w:val="21"/>
        </w:rPr>
        <w:t>开展生态修复</w:t>
      </w:r>
      <w:r>
        <w:rPr>
          <w:rFonts w:hint="eastAsia" w:ascii="宋体" w:hAnsi="宋体" w:eastAsia="宋体" w:cs="宋体"/>
          <w:sz w:val="21"/>
          <w:szCs w:val="21"/>
          <w:lang w:eastAsia="zh-CN"/>
        </w:rPr>
        <w:t>和地质隐患排除工程建设</w:t>
      </w:r>
      <w:r>
        <w:rPr>
          <w:rFonts w:hint="eastAsia" w:ascii="宋体" w:hAnsi="宋体" w:eastAsia="宋体" w:cs="宋体"/>
          <w:sz w:val="21"/>
          <w:szCs w:val="21"/>
        </w:rPr>
        <w:t>提供基础</w:t>
      </w:r>
      <w:r>
        <w:rPr>
          <w:rFonts w:hint="eastAsia" w:ascii="宋体" w:hAnsi="宋体" w:eastAsia="宋体" w:cs="宋体"/>
          <w:sz w:val="21"/>
          <w:szCs w:val="21"/>
          <w:lang w:eastAsia="zh-CN"/>
        </w:rPr>
        <w:t>理论依据</w:t>
      </w:r>
      <w:r>
        <w:rPr>
          <w:rFonts w:hint="eastAsia" w:ascii="宋体" w:hAnsi="宋体" w:eastAsia="宋体" w:cs="宋体"/>
          <w:sz w:val="21"/>
          <w:szCs w:val="21"/>
        </w:rPr>
        <w:t>。</w:t>
      </w:r>
    </w:p>
    <w:p>
      <w:pPr>
        <w:pStyle w:val="4"/>
        <w:pageBreakBefore w:val="0"/>
        <w:kinsoku/>
        <w:wordWrap/>
        <w:overflowPunct/>
        <w:topLinePunct w:val="0"/>
        <w:autoSpaceDE/>
        <w:autoSpaceDN/>
        <w:bidi w:val="0"/>
        <w:spacing w:line="360" w:lineRule="auto"/>
        <w:textAlignment w:val="auto"/>
        <w:rPr>
          <w:rFonts w:hint="eastAsia" w:ascii="宋体" w:hAnsi="宋体" w:eastAsia="宋体" w:cs="宋体"/>
          <w:b/>
          <w:bCs/>
          <w:sz w:val="21"/>
          <w:szCs w:val="21"/>
          <w:highlight w:val="none"/>
          <w:lang w:eastAsia="zh-CN"/>
        </w:rPr>
      </w:pPr>
      <w:bookmarkStart w:id="43" w:name="_GoBack"/>
      <w:r>
        <w:rPr>
          <w:rFonts w:hint="eastAsia" w:ascii="宋体" w:hAnsi="宋体" w:eastAsia="宋体" w:cs="宋体"/>
          <w:b/>
          <w:bCs/>
          <w:sz w:val="21"/>
          <w:szCs w:val="21"/>
          <w:highlight w:val="none"/>
          <w:lang w:eastAsia="zh-CN"/>
        </w:rPr>
        <w:t>二、</w:t>
      </w:r>
      <w:bookmarkStart w:id="0" w:name="_Toc31287"/>
      <w:bookmarkStart w:id="1" w:name="_Toc20667401"/>
      <w:bookmarkStart w:id="2" w:name="_Toc61355473"/>
      <w:r>
        <w:rPr>
          <w:rFonts w:hint="eastAsia" w:ascii="宋体" w:hAnsi="宋体" w:eastAsia="宋体" w:cs="宋体"/>
          <w:b/>
          <w:bCs/>
          <w:sz w:val="21"/>
          <w:szCs w:val="21"/>
          <w:highlight w:val="none"/>
          <w:lang w:eastAsia="zh-CN"/>
        </w:rPr>
        <w:t>自然概况与实施条件分析</w:t>
      </w:r>
    </w:p>
    <w:p>
      <w:pPr>
        <w:pStyle w:val="4"/>
        <w:pageBreakBefore w:val="0"/>
        <w:kinsoku/>
        <w:wordWrap/>
        <w:overflowPunct/>
        <w:topLinePunct w:val="0"/>
        <w:autoSpaceDE/>
        <w:autoSpaceDN/>
        <w:bidi w:val="0"/>
        <w:spacing w:line="36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（一）</w:t>
      </w:r>
      <w:r>
        <w:rPr>
          <w:rFonts w:hint="eastAsia" w:ascii="宋体" w:hAnsi="宋体" w:eastAsia="宋体" w:cs="宋体"/>
          <w:sz w:val="21"/>
          <w:szCs w:val="21"/>
          <w:highlight w:val="none"/>
        </w:rPr>
        <w:t>南岭国家公园区域自然概况</w:t>
      </w:r>
      <w:bookmarkEnd w:id="0"/>
      <w:bookmarkEnd w:id="1"/>
      <w:bookmarkEnd w:id="2"/>
    </w:p>
    <w:p>
      <w:pPr>
        <w:pStyle w:val="5"/>
        <w:pageBreakBefore w:val="0"/>
        <w:kinsoku/>
        <w:wordWrap/>
        <w:overflowPunct/>
        <w:topLinePunct w:val="0"/>
        <w:autoSpaceDE/>
        <w:autoSpaceDN/>
        <w:bidi w:val="0"/>
        <w:spacing w:line="360" w:lineRule="auto"/>
        <w:textAlignment w:val="auto"/>
        <w:rPr>
          <w:rFonts w:hint="eastAsia" w:ascii="宋体" w:hAnsi="宋体" w:eastAsia="宋体" w:cs="宋体"/>
          <w:sz w:val="21"/>
          <w:szCs w:val="21"/>
        </w:rPr>
      </w:pPr>
      <w:bookmarkStart w:id="3" w:name="_Toc20667402"/>
      <w:bookmarkStart w:id="4" w:name="_Toc61355474"/>
      <w:bookmarkStart w:id="5" w:name="_Toc1873"/>
      <w:r>
        <w:rPr>
          <w:rFonts w:hint="eastAsia" w:ascii="宋体" w:hAnsi="宋体" w:eastAsia="宋体" w:cs="宋体"/>
          <w:sz w:val="21"/>
          <w:szCs w:val="21"/>
          <w:lang w:val="en-US" w:eastAsia="zh-CN"/>
        </w:rPr>
        <w:t>1、</w:t>
      </w:r>
      <w:r>
        <w:rPr>
          <w:rFonts w:hint="eastAsia" w:ascii="宋体" w:hAnsi="宋体" w:eastAsia="宋体" w:cs="宋体"/>
          <w:sz w:val="21"/>
          <w:szCs w:val="21"/>
        </w:rPr>
        <w:t>地理位置</w:t>
      </w:r>
      <w:bookmarkEnd w:id="3"/>
      <w:bookmarkEnd w:id="4"/>
      <w:bookmarkEnd w:id="5"/>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南岭国家公园地处广东省北部，南岭中段南坡，地理位置为东经112°37′16.55-113°31′38.22，北纬24°22′29.33-25°01′26.53。是以南岭国家级自然保护区以及周围其它保护区和邻近山地为主体范围，属于森林生态系统自然保护地类型，主要保护对象是亚热带常绿阔叶林和珍稀濒危野生动植物及其栖息地。国家公园总面积2121.26 km2。国家公园森林覆盖率96%以上。涉及韶关和清远2市，连州市、曲江区、乳源县、武江区、阳山县、英德市、乐昌市等</w:t>
      </w:r>
      <w:r>
        <w:rPr>
          <w:rFonts w:hint="eastAsia" w:ascii="宋体" w:hAnsi="宋体" w:eastAsia="宋体" w:cs="宋体"/>
          <w:sz w:val="21"/>
          <w:szCs w:val="21"/>
          <w:lang w:val="en-US" w:eastAsia="zh-CN"/>
        </w:rPr>
        <w:t>7</w:t>
      </w:r>
      <w:r>
        <w:rPr>
          <w:rFonts w:hint="eastAsia" w:ascii="宋体" w:hAnsi="宋体" w:eastAsia="宋体" w:cs="宋体"/>
          <w:sz w:val="21"/>
          <w:szCs w:val="21"/>
        </w:rPr>
        <w:t>个县（市或区），2</w:t>
      </w:r>
      <w:r>
        <w:rPr>
          <w:rFonts w:hint="eastAsia" w:ascii="宋体" w:hAnsi="宋体" w:eastAsia="宋体" w:cs="宋体"/>
          <w:sz w:val="21"/>
          <w:szCs w:val="21"/>
          <w:lang w:val="en-US" w:eastAsia="zh-CN"/>
        </w:rPr>
        <w:t>3</w:t>
      </w:r>
      <w:r>
        <w:rPr>
          <w:rFonts w:hint="eastAsia" w:ascii="宋体" w:hAnsi="宋体" w:eastAsia="宋体" w:cs="宋体"/>
          <w:sz w:val="21"/>
          <w:szCs w:val="21"/>
        </w:rPr>
        <w:t>个乡镇。</w:t>
      </w:r>
    </w:p>
    <w:p>
      <w:pPr>
        <w:pStyle w:val="5"/>
        <w:pageBreakBefore w:val="0"/>
        <w:kinsoku/>
        <w:wordWrap/>
        <w:overflowPunct/>
        <w:topLinePunct w:val="0"/>
        <w:autoSpaceDE/>
        <w:autoSpaceDN/>
        <w:bidi w:val="0"/>
        <w:spacing w:line="360" w:lineRule="auto"/>
        <w:textAlignment w:val="auto"/>
        <w:rPr>
          <w:rFonts w:hint="eastAsia" w:ascii="宋体" w:hAnsi="宋体" w:eastAsia="宋体" w:cs="宋体"/>
          <w:sz w:val="21"/>
          <w:szCs w:val="21"/>
        </w:rPr>
      </w:pPr>
      <w:bookmarkStart w:id="6" w:name="_Toc20435"/>
      <w:bookmarkStart w:id="7" w:name="_Toc20667404"/>
      <w:bookmarkStart w:id="8" w:name="_Toc61355476"/>
      <w:r>
        <w:rPr>
          <w:rFonts w:hint="eastAsia" w:ascii="宋体" w:hAnsi="宋体" w:eastAsia="宋体" w:cs="宋体"/>
          <w:sz w:val="21"/>
          <w:szCs w:val="21"/>
          <w:lang w:val="en-US" w:eastAsia="zh-CN"/>
        </w:rPr>
        <w:t>2、</w:t>
      </w:r>
      <w:r>
        <w:rPr>
          <w:rFonts w:hint="eastAsia" w:ascii="宋体" w:hAnsi="宋体" w:eastAsia="宋体" w:cs="宋体"/>
          <w:sz w:val="21"/>
          <w:szCs w:val="21"/>
        </w:rPr>
        <w:t>地形地貌</w:t>
      </w:r>
      <w:bookmarkEnd w:id="6"/>
      <w:bookmarkEnd w:id="7"/>
      <w:bookmarkEnd w:id="8"/>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南岭国家公园地处南岭山脉中段，所处大地构造单元位于华南准地台湘桂粤海西印支凹陷区，韶关凹褶断束内。北向东构造形迹构成本区构造的骨架，东西向构造横贯全区，南北向构造醒目。区内地质构造复杂，在漫长的地质时期历经加里东运动、印支运动、燕山运动、喜山运动等，并具有多阶段活动的特点。由于历次运动结果，形成了纬向构造、经向构造、粤北山字形构造及新华夏系等构造体系，它们互相穿插、彼此干扰，联合与复合现象相当普遍。保护区内地层发育由老至新依次由上古生界泥盆系、石炭系，新生界第三系、第四系和燕山期侵入岩组成。</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333333"/>
          <w:kern w:val="0"/>
          <w:sz w:val="21"/>
          <w:szCs w:val="21"/>
        </w:rPr>
      </w:pPr>
      <w:r>
        <w:rPr>
          <w:rFonts w:hint="eastAsia" w:ascii="宋体" w:hAnsi="宋体" w:eastAsia="宋体" w:cs="宋体"/>
          <w:sz w:val="21"/>
          <w:szCs w:val="21"/>
        </w:rPr>
        <w:t>总体上地势属于中低山山地地貌，其中：中山山地地貌呈T字形分布保护区北部（省界/南岭山脉中段山脊和山体）和由北向南延伸（地区界/大顶山山体）的中南部区域，1000米以上山峰30多座；低山山地地貌分布在保护区中部偏东偏南偏西区域。地势呈现出北高南低、山地河谷交替分布的地势特征。境内山岭连绵，重峦叠嶂，山高谷深，地势峻峭。最高峰石坑崆为广东省第一高峰，海拔1902.3米；最低点为龙溪口，海拔202.1米；相对高差1770米。</w:t>
      </w:r>
    </w:p>
    <w:p>
      <w:pPr>
        <w:pStyle w:val="5"/>
        <w:pageBreakBefore w:val="0"/>
        <w:kinsoku/>
        <w:wordWrap/>
        <w:overflowPunct/>
        <w:topLinePunct w:val="0"/>
        <w:autoSpaceDE/>
        <w:autoSpaceDN/>
        <w:bidi w:val="0"/>
        <w:spacing w:line="360" w:lineRule="auto"/>
        <w:textAlignment w:val="auto"/>
        <w:rPr>
          <w:rFonts w:hint="eastAsia" w:ascii="宋体" w:hAnsi="宋体" w:eastAsia="宋体" w:cs="宋体"/>
          <w:sz w:val="21"/>
          <w:szCs w:val="21"/>
        </w:rPr>
      </w:pPr>
      <w:bookmarkStart w:id="9" w:name="_Toc20667406"/>
      <w:bookmarkStart w:id="10" w:name="_Toc61355478"/>
      <w:bookmarkStart w:id="11" w:name="_Toc28306"/>
      <w:bookmarkStart w:id="12" w:name="_Toc20667403"/>
      <w:bookmarkStart w:id="13" w:name="_Toc61355475"/>
      <w:bookmarkStart w:id="14" w:name="_Toc20667405"/>
      <w:bookmarkStart w:id="15" w:name="_Toc61355477"/>
      <w:r>
        <w:rPr>
          <w:rFonts w:hint="eastAsia" w:ascii="宋体" w:hAnsi="宋体" w:eastAsia="宋体" w:cs="宋体"/>
          <w:sz w:val="21"/>
          <w:szCs w:val="21"/>
          <w:lang w:val="en-US" w:eastAsia="zh-CN"/>
        </w:rPr>
        <w:t>3、</w:t>
      </w:r>
      <w:r>
        <w:rPr>
          <w:rFonts w:hint="eastAsia" w:ascii="宋体" w:hAnsi="宋体" w:eastAsia="宋体" w:cs="宋体"/>
          <w:sz w:val="21"/>
          <w:szCs w:val="21"/>
        </w:rPr>
        <w:t>土壤</w:t>
      </w:r>
      <w:bookmarkEnd w:id="9"/>
      <w:bookmarkEnd w:id="10"/>
      <w:bookmarkEnd w:id="11"/>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南岭国家公园成土母岩主要是</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"https://baike.baidu.com/item/%E8%8A%B1%E5%B2%97%E5%B2%A9/1046376"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花岗岩</w:t>
      </w:r>
      <w:r>
        <w:rPr>
          <w:rFonts w:hint="eastAsia" w:ascii="宋体" w:hAnsi="宋体" w:eastAsia="宋体" w:cs="宋体"/>
          <w:sz w:val="21"/>
          <w:szCs w:val="21"/>
        </w:rPr>
        <w:fldChar w:fldCharType="end"/>
      </w:r>
      <w:r>
        <w:rPr>
          <w:rFonts w:hint="eastAsia" w:ascii="宋体" w:hAnsi="宋体" w:eastAsia="宋体" w:cs="宋体"/>
          <w:sz w:val="21"/>
          <w:szCs w:val="21"/>
        </w:rPr>
        <w:t>、砂页岩、</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"https://baike.baidu.com/item/%E5%8F%98%E8%B4%A8%E5%B2%A9/594014"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变质岩</w:t>
      </w:r>
      <w:r>
        <w:rPr>
          <w:rFonts w:hint="eastAsia" w:ascii="宋体" w:hAnsi="宋体" w:eastAsia="宋体" w:cs="宋体"/>
          <w:sz w:val="21"/>
          <w:szCs w:val="21"/>
        </w:rPr>
        <w:fldChar w:fldCharType="end"/>
      </w:r>
      <w:r>
        <w:rPr>
          <w:rFonts w:hint="eastAsia" w:ascii="宋体" w:hAnsi="宋体" w:eastAsia="宋体" w:cs="宋体"/>
          <w:sz w:val="21"/>
          <w:szCs w:val="21"/>
        </w:rPr>
        <w:t>等。在高温多雨、植被覆盖良好的成土环境条件下，土壤的淋溶作用强烈，碱金属及碱土金属淋失现象严重，土壤普遍呈酸性反应，盐基饱和度普遍较低，山地土壤腐殖质层深厚、有机质含量较丰富，肥力水平较高，适宜林木生长。山地土壤所受人为活动干扰少，土壤形态和土壤结构完整，是研究南岭南麓山地土壤发育和形成条件的理想场所。地带性土壤为</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"https://baike.baidu.com/item/%E7%BA%A2%E5%A3%A4/1030917"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红壤</w:t>
      </w:r>
      <w:r>
        <w:rPr>
          <w:rFonts w:hint="eastAsia" w:ascii="宋体" w:hAnsi="宋体" w:eastAsia="宋体" w:cs="宋体"/>
          <w:sz w:val="21"/>
          <w:szCs w:val="21"/>
        </w:rPr>
        <w:fldChar w:fldCharType="end"/>
      </w:r>
      <w:r>
        <w:rPr>
          <w:rFonts w:hint="eastAsia" w:ascii="宋体" w:hAnsi="宋体" w:eastAsia="宋体" w:cs="宋体"/>
          <w:sz w:val="21"/>
          <w:szCs w:val="21"/>
        </w:rPr>
        <w:t>，从山麓至山顶，依次垂直分布着：红壤、山地黄红壤、山地黄壤、山地灌丛草甸土。土壤垂直带谱明显。主要土壤类型有：</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山地红壤：山地红壤主要分布在海拔500米以下的低山区，成土母质为花岗岩和砂岩类风化坡积物和堆积物。土壤呈强酸性反应，pH值4.5-5.2间。局部地域山地红壤受人为活动干扰较多。</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山地黄红壤：山地黄红壤是红壤与黄壤之间过渡性土壤，主要分布在海拔500-800米区域。成土母质以花岗岩和砂岩类风化坡积物为主，土壤呈酸性反应。森林植被保存良好，土壤肥力水平较高。</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山地黄壤：山地黄壤主要分布在海拔800-1700米区域。成土母质多为花岗风化坡积物、原积物，土壤偏酸性。山地黄壤区森林植被保存好，土壤自然性良好，土壤有机质含量丰富，腐殖层深厚，土壤肥力水平高。</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333333"/>
          <w:kern w:val="0"/>
          <w:sz w:val="21"/>
          <w:szCs w:val="21"/>
        </w:rPr>
      </w:pPr>
      <w:r>
        <w:rPr>
          <w:rFonts w:hint="eastAsia" w:ascii="宋体" w:hAnsi="宋体" w:eastAsia="宋体" w:cs="宋体"/>
          <w:sz w:val="21"/>
          <w:szCs w:val="21"/>
        </w:rPr>
        <w:t>山地灌丛草甸土：分布在石坑崆等海拔1700米以上的山体顶峰和主山脊线。山地灌丛草甸土层浅薄，表层土草根层盘结层明显，富弹性，呈灰黑色，有机质含量高，土壤酸性反应。山地灌丛草甸土剖面发育不完全，土体中石砾（块）含量较多。</w:t>
      </w:r>
    </w:p>
    <w:p>
      <w:pPr>
        <w:pStyle w:val="5"/>
        <w:pageBreakBefore w:val="0"/>
        <w:kinsoku/>
        <w:wordWrap/>
        <w:overflowPunct/>
        <w:topLinePunct w:val="0"/>
        <w:autoSpaceDE/>
        <w:autoSpaceDN/>
        <w:bidi w:val="0"/>
        <w:spacing w:line="360" w:lineRule="auto"/>
        <w:textAlignment w:val="auto"/>
        <w:rPr>
          <w:rFonts w:hint="eastAsia" w:ascii="宋体" w:hAnsi="宋体" w:eastAsia="宋体" w:cs="宋体"/>
          <w:sz w:val="21"/>
          <w:szCs w:val="21"/>
        </w:rPr>
      </w:pPr>
      <w:bookmarkStart w:id="16" w:name="_Toc4723"/>
      <w:r>
        <w:rPr>
          <w:rFonts w:hint="eastAsia" w:ascii="宋体" w:hAnsi="宋体" w:eastAsia="宋体" w:cs="宋体"/>
          <w:sz w:val="21"/>
          <w:szCs w:val="21"/>
          <w:lang w:val="en-US" w:eastAsia="zh-CN"/>
        </w:rPr>
        <w:t>4、</w:t>
      </w:r>
      <w:r>
        <w:rPr>
          <w:rFonts w:hint="eastAsia" w:ascii="宋体" w:hAnsi="宋体" w:eastAsia="宋体" w:cs="宋体"/>
          <w:sz w:val="21"/>
          <w:szCs w:val="21"/>
        </w:rPr>
        <w:t>气候</w:t>
      </w:r>
      <w:bookmarkEnd w:id="12"/>
      <w:bookmarkEnd w:id="13"/>
      <w:bookmarkEnd w:id="16"/>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南岭国家公园地处北回归线以北，南岭山脉南麓，气候属南亚热带至中亚热带季风气候过渡区。全年盛行南北气流，春秋季风中偏南风与偏北风互为交替，夏季偏南风为主，冬季偏北风为主，冷暖交替明显，形成光热充足、雨量丰富、湿度大的特点。该区气候的基本特征表现为：海洋与大陆交汇、季风气候与山地气候等交汇区特征。冬季有降雪，中山山体一般每年有10天左右的降雪期，山顶伴有结冰。据</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"https://baike.baidu.com/item/%E4%B9%B3%E6%BA%90%E5%8E%BF/7968308"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乳源县</w:t>
      </w:r>
      <w:r>
        <w:rPr>
          <w:rFonts w:hint="eastAsia" w:ascii="宋体" w:hAnsi="宋体" w:eastAsia="宋体" w:cs="宋体"/>
          <w:sz w:val="21"/>
          <w:szCs w:val="21"/>
        </w:rPr>
        <w:fldChar w:fldCharType="end"/>
      </w:r>
      <w:r>
        <w:rPr>
          <w:rFonts w:hint="eastAsia" w:ascii="宋体" w:hAnsi="宋体" w:eastAsia="宋体" w:cs="宋体"/>
          <w:sz w:val="21"/>
          <w:szCs w:val="21"/>
        </w:rPr>
        <w:t>、</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"https://baike.baidu.com/item/%E9%98%B3%E5%B1%B1%E5%8E%BF/3330752"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阳山县</w:t>
      </w:r>
      <w:r>
        <w:rPr>
          <w:rFonts w:hint="eastAsia" w:ascii="宋体" w:hAnsi="宋体" w:eastAsia="宋体" w:cs="宋体"/>
          <w:sz w:val="21"/>
          <w:szCs w:val="21"/>
        </w:rPr>
        <w:fldChar w:fldCharType="end"/>
      </w:r>
      <w:r>
        <w:rPr>
          <w:rFonts w:hint="eastAsia" w:ascii="宋体" w:hAnsi="宋体" w:eastAsia="宋体" w:cs="宋体"/>
          <w:sz w:val="21"/>
          <w:szCs w:val="21"/>
        </w:rPr>
        <w:t>、</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"https://baike.baidu.com/item/%E8%BF%9E%E5%B7%9E%E5%B8%82/2717194"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连州市</w:t>
      </w:r>
      <w:r>
        <w:rPr>
          <w:rFonts w:hint="eastAsia" w:ascii="宋体" w:hAnsi="宋体" w:eastAsia="宋体" w:cs="宋体"/>
          <w:sz w:val="21"/>
          <w:szCs w:val="21"/>
        </w:rPr>
        <w:fldChar w:fldCharType="end"/>
      </w:r>
      <w:r>
        <w:rPr>
          <w:rFonts w:hint="eastAsia" w:ascii="宋体" w:hAnsi="宋体" w:eastAsia="宋体" w:cs="宋体"/>
          <w:sz w:val="21"/>
          <w:szCs w:val="21"/>
        </w:rPr>
        <w:t>气象资料：广东南岭国家级自然保护区多年平均气温17.7℃，极端最低气温-4.2℃，极端最高气温34.4℃；气温随海拔高度增加而降低，递减率为0.67℃/100米；≥10℃年积温6483℃。多年平均降水量为1705毫米，降水多集中3-10月间，占全年降雨量的82%左右；由于山地抬升作用，中山云雾多，降水随海拔高度增加而增多，递增率为63毫米/100米。多年平均相对湿度84%。年平均无霜期276天，平均霜期89天。历年平均日照时数为1234小时，年平均日照百分率为40%。</w:t>
      </w:r>
    </w:p>
    <w:p>
      <w:pPr>
        <w:pStyle w:val="5"/>
        <w:pageBreakBefore w:val="0"/>
        <w:kinsoku/>
        <w:wordWrap/>
        <w:overflowPunct/>
        <w:topLinePunct w:val="0"/>
        <w:autoSpaceDE/>
        <w:autoSpaceDN/>
        <w:bidi w:val="0"/>
        <w:spacing w:line="360" w:lineRule="auto"/>
        <w:textAlignment w:val="auto"/>
        <w:rPr>
          <w:rFonts w:hint="eastAsia" w:ascii="宋体" w:hAnsi="宋体" w:eastAsia="宋体" w:cs="宋体"/>
          <w:sz w:val="21"/>
          <w:szCs w:val="21"/>
        </w:rPr>
      </w:pPr>
      <w:bookmarkStart w:id="17" w:name="_Toc11170"/>
      <w:r>
        <w:rPr>
          <w:rFonts w:hint="eastAsia" w:ascii="宋体" w:hAnsi="宋体" w:eastAsia="宋体" w:cs="宋体"/>
          <w:sz w:val="21"/>
          <w:szCs w:val="21"/>
          <w:lang w:val="en-US" w:eastAsia="zh-CN"/>
        </w:rPr>
        <w:t>5、</w:t>
      </w:r>
      <w:r>
        <w:rPr>
          <w:rFonts w:hint="eastAsia" w:ascii="宋体" w:hAnsi="宋体" w:eastAsia="宋体" w:cs="宋体"/>
          <w:sz w:val="21"/>
          <w:szCs w:val="21"/>
        </w:rPr>
        <w:t>水文</w:t>
      </w:r>
      <w:bookmarkEnd w:id="14"/>
      <w:bookmarkEnd w:id="15"/>
      <w:bookmarkEnd w:id="17"/>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南岭属</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"https://baike.baidu.com/item/%E7%8F%A0%E6%B1%9F/604841"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珠江</w:t>
      </w:r>
      <w:r>
        <w:rPr>
          <w:rFonts w:hint="eastAsia" w:ascii="宋体" w:hAnsi="宋体" w:eastAsia="宋体" w:cs="宋体"/>
          <w:sz w:val="21"/>
          <w:szCs w:val="21"/>
        </w:rPr>
        <w:fldChar w:fldCharType="end"/>
      </w:r>
      <w:r>
        <w:rPr>
          <w:rFonts w:hint="eastAsia" w:ascii="宋体" w:hAnsi="宋体" w:eastAsia="宋体" w:cs="宋体"/>
          <w:sz w:val="21"/>
          <w:szCs w:val="21"/>
        </w:rPr>
        <w:t>流域</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"https://baike.baidu.com/item/%E5%8C%97%E6%B1%9F/35264"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北江</w:t>
      </w:r>
      <w:r>
        <w:rPr>
          <w:rFonts w:hint="eastAsia" w:ascii="宋体" w:hAnsi="宋体" w:eastAsia="宋体" w:cs="宋体"/>
          <w:sz w:val="21"/>
          <w:szCs w:val="21"/>
        </w:rPr>
        <w:fldChar w:fldCharType="end"/>
      </w:r>
      <w:r>
        <w:rPr>
          <w:rFonts w:hint="eastAsia" w:ascii="宋体" w:hAnsi="宋体" w:eastAsia="宋体" w:cs="宋体"/>
          <w:sz w:val="21"/>
          <w:szCs w:val="21"/>
        </w:rPr>
        <w:t>水系，国家公园为北江流域二条支流（南水河、秤架河）的发源地。以石坑崆—亚叉顶—丫叉顶—安头墩—风流坳—分水坳等中山山脊线（韶关市和清远市地区界）为界，东部溪流呈树枝状流入南水河，西部溪流呈树枝状汇入秤架河。境内峰峦叠嶂、河溪极为发育。河溪属降水补给型，具有流量大的特点。受地形影响，河流溪水的坡降变化较大，一般在12.7.‰—39.2‰之间，急滩险涧瀑布较多。境内现建有三个大中型水库，其中：</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"https://baike.baidu.com/item/%E5%8D%97%E6%B0%B4%E6%B0%B4%E5%BA%93/8862639"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南水水库</w:t>
      </w:r>
      <w:r>
        <w:rPr>
          <w:rFonts w:hint="eastAsia" w:ascii="宋体" w:hAnsi="宋体" w:eastAsia="宋体" w:cs="宋体"/>
          <w:sz w:val="21"/>
          <w:szCs w:val="21"/>
        </w:rPr>
        <w:fldChar w:fldCharType="end"/>
      </w:r>
      <w:r>
        <w:rPr>
          <w:rFonts w:hint="eastAsia" w:ascii="宋体" w:hAnsi="宋体" w:eastAsia="宋体" w:cs="宋体"/>
          <w:sz w:val="21"/>
          <w:szCs w:val="21"/>
        </w:rPr>
        <w:t>库容量12.18亿立方米，</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"https://baike.baidu.com/item/%E6%B3%89%E6%B0%B4%E6%B0%B4%E5%BA%93/9864829"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泉水水库</w:t>
      </w:r>
      <w:r>
        <w:rPr>
          <w:rFonts w:hint="eastAsia" w:ascii="宋体" w:hAnsi="宋体" w:eastAsia="宋体" w:cs="宋体"/>
          <w:sz w:val="21"/>
          <w:szCs w:val="21"/>
        </w:rPr>
        <w:fldChar w:fldCharType="end"/>
      </w:r>
      <w:r>
        <w:rPr>
          <w:rFonts w:hint="eastAsia" w:ascii="宋体" w:hAnsi="宋体" w:eastAsia="宋体" w:cs="宋体"/>
          <w:sz w:val="21"/>
          <w:szCs w:val="21"/>
        </w:rPr>
        <w:t>库容量0.36亿立方米，</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"https://baike.baidu.com/item/%E6%BD%AD%E5%B2%AD%E6%B0%B4%E5%BA%93/9864650"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潭岭水库</w:t>
      </w:r>
      <w:r>
        <w:rPr>
          <w:rFonts w:hint="eastAsia" w:ascii="宋体" w:hAnsi="宋体" w:eastAsia="宋体" w:cs="宋体"/>
          <w:sz w:val="21"/>
          <w:szCs w:val="21"/>
        </w:rPr>
        <w:fldChar w:fldCharType="end"/>
      </w:r>
      <w:r>
        <w:rPr>
          <w:rFonts w:hint="eastAsia" w:ascii="宋体" w:hAnsi="宋体" w:eastAsia="宋体" w:cs="宋体"/>
          <w:sz w:val="21"/>
          <w:szCs w:val="21"/>
        </w:rPr>
        <w:t>库容量1.76亿立方米。广东南岭国家公园为南水水库、泉水水库、潭岭水库最重要的水源涵养林区。</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总体看，国家公园境内地表水资源丰富，地表水以河流、溪流、水库等形式分布。由于</w:t>
      </w:r>
      <w:r>
        <w:rPr>
          <w:rFonts w:hint="eastAsia" w:ascii="宋体" w:hAnsi="宋体" w:eastAsia="宋体" w:cs="宋体"/>
          <w:sz w:val="21"/>
          <w:szCs w:val="21"/>
          <w:lang w:eastAsia="zh-CN"/>
        </w:rPr>
        <w:t>境内</w:t>
      </w:r>
      <w:r>
        <w:rPr>
          <w:rFonts w:hint="eastAsia" w:ascii="宋体" w:hAnsi="宋体" w:eastAsia="宋体" w:cs="宋体"/>
          <w:sz w:val="21"/>
          <w:szCs w:val="21"/>
        </w:rPr>
        <w:t>森林植被茂密，经检测，地表水水质普遍良好。无色、无味、无异嗅、透明度好；</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"https://baike.baidu.com/item/pH/5582177"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pH</w:t>
      </w:r>
      <w:r>
        <w:rPr>
          <w:rFonts w:hint="eastAsia" w:ascii="宋体" w:hAnsi="宋体" w:eastAsia="宋体" w:cs="宋体"/>
          <w:sz w:val="21"/>
          <w:szCs w:val="21"/>
        </w:rPr>
        <w:fldChar w:fldCharType="end"/>
      </w:r>
      <w:r>
        <w:rPr>
          <w:rFonts w:hint="eastAsia" w:ascii="宋体" w:hAnsi="宋体" w:eastAsia="宋体" w:cs="宋体"/>
          <w:sz w:val="21"/>
          <w:szCs w:val="21"/>
        </w:rPr>
        <w:t>6.4—7.2，属中性；矿化度0.03—0.07g/L，为低矿化的淡水；总硬度5.42—13.36德国度，为软水-微硬水；水化学类型为重碳酸水（HCO3-Ca·K+Na或HCO3-米g·K+N·Ca），河溪水水质指标均符合国家《地表水环境质量标准》Ι类--Ⅱ类水质标准。</w:t>
      </w:r>
    </w:p>
    <w:p>
      <w:pPr>
        <w:pStyle w:val="5"/>
        <w:pageBreakBefore w:val="0"/>
        <w:kinsoku/>
        <w:wordWrap/>
        <w:overflowPunct/>
        <w:topLinePunct w:val="0"/>
        <w:autoSpaceDE/>
        <w:autoSpaceDN/>
        <w:bidi w:val="0"/>
        <w:spacing w:line="360" w:lineRule="auto"/>
        <w:textAlignment w:val="auto"/>
        <w:rPr>
          <w:rFonts w:hint="eastAsia" w:ascii="宋体" w:hAnsi="宋体" w:eastAsia="宋体" w:cs="宋体"/>
          <w:sz w:val="21"/>
          <w:szCs w:val="21"/>
        </w:rPr>
      </w:pPr>
      <w:bookmarkStart w:id="18" w:name="_Toc61355480"/>
      <w:bookmarkStart w:id="19" w:name="_Toc530"/>
      <w:bookmarkStart w:id="20" w:name="_Toc20667408"/>
      <w:r>
        <w:rPr>
          <w:rFonts w:hint="eastAsia" w:ascii="宋体" w:hAnsi="宋体" w:eastAsia="宋体" w:cs="宋体"/>
          <w:sz w:val="21"/>
          <w:szCs w:val="21"/>
          <w:lang w:val="en-US" w:eastAsia="zh-CN"/>
        </w:rPr>
        <w:t>6、</w:t>
      </w:r>
      <w:r>
        <w:rPr>
          <w:rFonts w:hint="eastAsia" w:ascii="宋体" w:hAnsi="宋体" w:eastAsia="宋体" w:cs="宋体"/>
          <w:sz w:val="21"/>
          <w:szCs w:val="21"/>
        </w:rPr>
        <w:t>植被</w:t>
      </w:r>
      <w:bookmarkEnd w:id="18"/>
      <w:bookmarkEnd w:id="19"/>
      <w:bookmarkEnd w:id="20"/>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南岭国家公园的核心区域是以“南岭国家级自然保护区”为基础。根据前期调查，该地区具有丰富的生物资源，悠久生物演化历史，是新近纪、第四纪生物避难所，近代东亚温带、亚热带植物区系的发源地之一。保存的野生高等植物287科1262属3889种，其中苔藓植物60科153属351种，野生维管植物227科1109属3538种，种数占广东省野生维管植物5933种的59.6%。在野生维管植物中，蕨类植物46科112属363种，裸子植物7科11属19种，被子植物174科986属3156种（双子叶植物147科764属2605种，单子叶植物27科222属551种）。</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植物区系起源古老、成分复杂，其以亚热带成分为主。种子植物表征科为</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"https://baike.baidu.com/item/%E5%A3%B3%E6%96%97%E7%A7%91/7640479"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壳斗科</w:t>
      </w:r>
      <w:r>
        <w:rPr>
          <w:rFonts w:hint="eastAsia" w:ascii="宋体" w:hAnsi="宋体" w:eastAsia="宋体" w:cs="宋体"/>
          <w:sz w:val="21"/>
          <w:szCs w:val="21"/>
        </w:rPr>
        <w:fldChar w:fldCharType="end"/>
      </w:r>
      <w:r>
        <w:rPr>
          <w:rFonts w:hint="eastAsia" w:ascii="宋体" w:hAnsi="宋体" w:eastAsia="宋体" w:cs="宋体"/>
          <w:sz w:val="21"/>
          <w:szCs w:val="21"/>
        </w:rPr>
        <w:t>、山茶科、樟科、木兰科、</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"https://baike.baidu.com/item/%E9%87%91%E7%BC%95%E6%A2%85%E7%A7%91/8425109"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金缕梅科</w:t>
      </w:r>
      <w:r>
        <w:rPr>
          <w:rFonts w:hint="eastAsia" w:ascii="宋体" w:hAnsi="宋体" w:eastAsia="宋体" w:cs="宋体"/>
          <w:sz w:val="21"/>
          <w:szCs w:val="21"/>
        </w:rPr>
        <w:fldChar w:fldCharType="end"/>
      </w:r>
      <w:r>
        <w:rPr>
          <w:rFonts w:hint="eastAsia" w:ascii="宋体" w:hAnsi="宋体" w:eastAsia="宋体" w:cs="宋体"/>
          <w:sz w:val="21"/>
          <w:szCs w:val="21"/>
        </w:rPr>
        <w:t>、安息香科、五列木科、杜英科、杜鹃花科、松科、冬青科等，其中裸子植物超过9科11属20多种，原始的被子植物极为丰富，如木兰科18种、樟科77种、山茶科70种、壳斗科66种、安息香科20种、金缕梅科18种、番荔枝科6种、毛茛科31种、小檗科13种、荨麻科33种等。</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国家重点保护野生植物：23科33种，其中I级保护植物3科3种：南方红豆杉、伯乐树、莼菜，Ⅱ级保护植物21科27种2变种：</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"https://baike.baidu.com/item/%E9%87%91%E6%AF%9B%E7%8B%97/16383117"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金毛狗</w:t>
      </w:r>
      <w:r>
        <w:rPr>
          <w:rFonts w:hint="eastAsia" w:ascii="宋体" w:hAnsi="宋体" w:eastAsia="宋体" w:cs="宋体"/>
          <w:sz w:val="21"/>
          <w:szCs w:val="21"/>
        </w:rPr>
        <w:fldChar w:fldCharType="end"/>
      </w:r>
      <w:r>
        <w:rPr>
          <w:rFonts w:hint="eastAsia" w:ascii="宋体" w:hAnsi="宋体" w:eastAsia="宋体" w:cs="宋体"/>
          <w:sz w:val="21"/>
          <w:szCs w:val="21"/>
        </w:rPr>
        <w:t>、</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"https://baike.baidu.com/item/%E6%B0%B4%E8%95%A8/8882926"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水蕨</w:t>
      </w:r>
      <w:r>
        <w:rPr>
          <w:rFonts w:hint="eastAsia" w:ascii="宋体" w:hAnsi="宋体" w:eastAsia="宋体" w:cs="宋体"/>
          <w:sz w:val="21"/>
          <w:szCs w:val="21"/>
        </w:rPr>
        <w:fldChar w:fldCharType="end"/>
      </w:r>
      <w:r>
        <w:rPr>
          <w:rFonts w:hint="eastAsia" w:ascii="宋体" w:hAnsi="宋体" w:eastAsia="宋体" w:cs="宋体"/>
          <w:sz w:val="21"/>
          <w:szCs w:val="21"/>
        </w:rPr>
        <w:t>、</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"https://baike.baidu.com/item/%E9%BB%91%E6%A1%AB%E6%A4%A4/2137586"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黑桫椤</w:t>
      </w:r>
      <w:r>
        <w:rPr>
          <w:rFonts w:hint="eastAsia" w:ascii="宋体" w:hAnsi="宋体" w:eastAsia="宋体" w:cs="宋体"/>
          <w:sz w:val="21"/>
          <w:szCs w:val="21"/>
        </w:rPr>
        <w:fldChar w:fldCharType="end"/>
      </w:r>
      <w:r>
        <w:rPr>
          <w:rFonts w:hint="eastAsia" w:ascii="宋体" w:hAnsi="宋体" w:eastAsia="宋体" w:cs="宋体"/>
          <w:sz w:val="21"/>
          <w:szCs w:val="21"/>
        </w:rPr>
        <w:t>、</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"https://baike.baidu.com/item/%E5%A4%A7%E9%BB%91%E6%A1%AB%E6%A4%A4/7002286"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大黑桫椤</w:t>
      </w:r>
      <w:r>
        <w:rPr>
          <w:rFonts w:hint="eastAsia" w:ascii="宋体" w:hAnsi="宋体" w:eastAsia="宋体" w:cs="宋体"/>
          <w:sz w:val="21"/>
          <w:szCs w:val="21"/>
        </w:rPr>
        <w:fldChar w:fldCharType="end"/>
      </w:r>
      <w:r>
        <w:rPr>
          <w:rFonts w:hint="eastAsia" w:ascii="宋体" w:hAnsi="宋体" w:eastAsia="宋体" w:cs="宋体"/>
          <w:sz w:val="21"/>
          <w:szCs w:val="21"/>
        </w:rPr>
        <w:t>、</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"https://baike.baidu.com/item/%E5%B0%8F%E9%BB%91%E6%A1%AB%E6%A4%A4/802308"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小黑桫椤</w:t>
      </w:r>
      <w:r>
        <w:rPr>
          <w:rFonts w:hint="eastAsia" w:ascii="宋体" w:hAnsi="宋体" w:eastAsia="宋体" w:cs="宋体"/>
          <w:sz w:val="21"/>
          <w:szCs w:val="21"/>
        </w:rPr>
        <w:fldChar w:fldCharType="end"/>
      </w:r>
      <w:r>
        <w:rPr>
          <w:rFonts w:hint="eastAsia" w:ascii="宋体" w:hAnsi="宋体" w:eastAsia="宋体" w:cs="宋体"/>
          <w:sz w:val="21"/>
          <w:szCs w:val="21"/>
        </w:rPr>
        <w:t>、</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"https://baike.baidu.com/item/%E8%8B%8F%E9%93%81%E8%95%A8/8865179"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苏铁蕨</w:t>
      </w:r>
      <w:r>
        <w:rPr>
          <w:rFonts w:hint="eastAsia" w:ascii="宋体" w:hAnsi="宋体" w:eastAsia="宋体" w:cs="宋体"/>
          <w:sz w:val="21"/>
          <w:szCs w:val="21"/>
        </w:rPr>
        <w:fldChar w:fldCharType="end"/>
      </w:r>
      <w:r>
        <w:rPr>
          <w:rFonts w:hint="eastAsia" w:ascii="宋体" w:hAnsi="宋体" w:eastAsia="宋体" w:cs="宋体"/>
          <w:sz w:val="21"/>
          <w:szCs w:val="21"/>
        </w:rPr>
        <w:t>、福建柏、</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"https://baike.baidu.com/item/%E7%99%BD%E8%B1%86%E6%9D%89/8279672"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白豆杉</w:t>
      </w:r>
      <w:r>
        <w:rPr>
          <w:rFonts w:hint="eastAsia" w:ascii="宋体" w:hAnsi="宋体" w:eastAsia="宋体" w:cs="宋体"/>
          <w:sz w:val="21"/>
          <w:szCs w:val="21"/>
        </w:rPr>
        <w:fldChar w:fldCharType="end"/>
      </w:r>
      <w:r>
        <w:rPr>
          <w:rFonts w:hint="eastAsia" w:ascii="宋体" w:hAnsi="宋体" w:eastAsia="宋体" w:cs="宋体"/>
          <w:sz w:val="21"/>
          <w:szCs w:val="21"/>
        </w:rPr>
        <w:t>、</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"https://baike.baidu.com/item/%E7%AF%A6%E5%AD%90%E4%B8%89%E5%B0%96%E6%9D%89/801488"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篦子三尖杉</w:t>
      </w:r>
      <w:r>
        <w:rPr>
          <w:rFonts w:hint="eastAsia" w:ascii="宋体" w:hAnsi="宋体" w:eastAsia="宋体" w:cs="宋体"/>
          <w:sz w:val="21"/>
          <w:szCs w:val="21"/>
        </w:rPr>
        <w:fldChar w:fldCharType="end"/>
      </w:r>
      <w:r>
        <w:rPr>
          <w:rFonts w:hint="eastAsia" w:ascii="宋体" w:hAnsi="宋体" w:eastAsia="宋体" w:cs="宋体"/>
          <w:sz w:val="21"/>
          <w:szCs w:val="21"/>
        </w:rPr>
        <w:t>、</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"https://baike.baidu.com/item/%E5%8E%9A%E6%9C%B4/405699"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厚朴</w:t>
      </w:r>
      <w:r>
        <w:rPr>
          <w:rFonts w:hint="eastAsia" w:ascii="宋体" w:hAnsi="宋体" w:eastAsia="宋体" w:cs="宋体"/>
          <w:sz w:val="21"/>
          <w:szCs w:val="21"/>
        </w:rPr>
        <w:fldChar w:fldCharType="end"/>
      </w:r>
      <w:r>
        <w:rPr>
          <w:rFonts w:hint="eastAsia" w:ascii="宋体" w:hAnsi="宋体" w:eastAsia="宋体" w:cs="宋体"/>
          <w:sz w:val="21"/>
          <w:szCs w:val="21"/>
        </w:rPr>
        <w:t>、凹叶厚朴、樟、闽楠、金荞麦、红椿、毛红椿、</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"https://baike.baidu.com/item/%E5%8D%8A%E6%9E%AB%E8%8D%B7/3566641"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半枫荷</w:t>
      </w:r>
      <w:r>
        <w:rPr>
          <w:rFonts w:hint="eastAsia" w:ascii="宋体" w:hAnsi="宋体" w:eastAsia="宋体" w:cs="宋体"/>
          <w:sz w:val="21"/>
          <w:szCs w:val="21"/>
        </w:rPr>
        <w:fldChar w:fldCharType="end"/>
      </w:r>
      <w:r>
        <w:rPr>
          <w:rFonts w:hint="eastAsia" w:ascii="宋体" w:hAnsi="宋体" w:eastAsia="宋体" w:cs="宋体"/>
          <w:sz w:val="21"/>
          <w:szCs w:val="21"/>
        </w:rPr>
        <w:t>、华南锥、伞花木、野大豆、任豆、花榈木、榉树、喜树、香果树、</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"https://baike.baidu.com/item/%E9%A9%BC%E5%B3%B0%E8%97%A4/9478344"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驼峰藤</w:t>
      </w:r>
      <w:r>
        <w:rPr>
          <w:rFonts w:hint="eastAsia" w:ascii="宋体" w:hAnsi="宋体" w:eastAsia="宋体" w:cs="宋体"/>
          <w:sz w:val="21"/>
          <w:szCs w:val="21"/>
        </w:rPr>
        <w:fldChar w:fldCharType="end"/>
      </w:r>
      <w:r>
        <w:rPr>
          <w:rFonts w:hint="eastAsia" w:ascii="宋体" w:hAnsi="宋体" w:eastAsia="宋体" w:cs="宋体"/>
          <w:sz w:val="21"/>
          <w:szCs w:val="21"/>
        </w:rPr>
        <w:t>等。</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珍稀濒危保护植物：列入中国珍稀濒危保护植物名录的野生植物28科40种，其中1级保护的珍稀濒危植物2种，2级保护植物13种，3级保护植物25种。另外，栽培的珍稀濒危保护植物8科8种，其中1级保护的珍稀濒危植物1种，2级保护植物7种。稀有濒危植物：收录于中国植物红皮书的稀有濒危植物共27科38种，其中濒危植物3科3种，渐危植物13科13种，稀有植物14科22种。</w:t>
      </w:r>
    </w:p>
    <w:p>
      <w:pPr>
        <w:pStyle w:val="4"/>
        <w:pageBreakBefore w:val="0"/>
        <w:kinsoku/>
        <w:wordWrap/>
        <w:overflowPunct/>
        <w:topLinePunct w:val="0"/>
        <w:autoSpaceDE/>
        <w:autoSpaceDN/>
        <w:bidi w:val="0"/>
        <w:spacing w:line="360" w:lineRule="auto"/>
        <w:textAlignment w:val="auto"/>
        <w:rPr>
          <w:rFonts w:hint="eastAsia" w:ascii="宋体" w:hAnsi="宋体" w:eastAsia="宋体" w:cs="宋体"/>
          <w:sz w:val="21"/>
          <w:szCs w:val="21"/>
        </w:rPr>
      </w:pPr>
      <w:bookmarkStart w:id="21" w:name="_Toc18302"/>
      <w:r>
        <w:rPr>
          <w:rFonts w:hint="eastAsia" w:ascii="宋体" w:hAnsi="宋体" w:eastAsia="宋体" w:cs="宋体"/>
          <w:sz w:val="21"/>
          <w:szCs w:val="21"/>
          <w:lang w:eastAsia="zh-CN"/>
        </w:rPr>
        <w:t>（二）</w:t>
      </w:r>
      <w:r>
        <w:rPr>
          <w:rFonts w:hint="eastAsia" w:ascii="宋体" w:hAnsi="宋体" w:eastAsia="宋体" w:cs="宋体"/>
          <w:sz w:val="21"/>
          <w:szCs w:val="21"/>
        </w:rPr>
        <w:t>南岭国家公园石坑崆段道路受损现状</w:t>
      </w:r>
      <w:bookmarkEnd w:id="21"/>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本项目范围位于广东北部南岭山脉中段，由乳阳管理处分片管理，地理坐标为东经112º30′—113º04′，北纬24º37′—24º57′，属于森林生态系统自然保护地范围，属中亚热带季风气候区。</w:t>
      </w:r>
    </w:p>
    <w:p>
      <w:pPr>
        <w:pageBreakBefore w:val="0"/>
        <w:kinsoku/>
        <w:wordWrap/>
        <w:overflowPunct/>
        <w:topLinePunct w:val="0"/>
        <w:autoSpaceDE/>
        <w:autoSpaceDN/>
        <w:bidi w:val="0"/>
        <w:snapToGrid w:val="0"/>
        <w:spacing w:line="360" w:lineRule="auto"/>
        <w:ind w:firstLine="480" w:firstLineChars="200"/>
        <w:textAlignment w:val="auto"/>
        <w:rPr>
          <w:rFonts w:hint="eastAsia" w:ascii="仿宋_GB2312" w:hAnsi="仿宋_GB2312" w:eastAsia="仿宋_GB2312" w:cs="仿宋_GB2312"/>
          <w:sz w:val="24"/>
          <w:szCs w:val="24"/>
        </w:rPr>
      </w:pPr>
    </w:p>
    <w:p>
      <w:pPr>
        <w:pageBreakBefore w:val="0"/>
        <w:kinsoku/>
        <w:wordWrap/>
        <w:overflowPunct/>
        <w:topLinePunct w:val="0"/>
        <w:autoSpaceDE/>
        <w:autoSpaceDN/>
        <w:bidi w:val="0"/>
        <w:snapToGrid w:val="0"/>
        <w:spacing w:line="360" w:lineRule="auto"/>
        <w:jc w:val="center"/>
        <w:textAlignment w:val="auto"/>
        <w:rPr>
          <w:rFonts w:hint="eastAsia" w:ascii="仿宋_GB2312" w:hAnsi="仿宋_GB2312" w:eastAsia="仿宋_GB2312" w:cs="仿宋_GB2312"/>
          <w:sz w:val="24"/>
          <w:szCs w:val="24"/>
        </w:rPr>
      </w:pPr>
      <w:r>
        <w:drawing>
          <wp:inline distT="0" distB="0" distL="114300" distR="114300">
            <wp:extent cx="4594860" cy="2506980"/>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594860" cy="2506980"/>
                    </a:xfrm>
                    <a:prstGeom prst="rect">
                      <a:avLst/>
                    </a:prstGeom>
                    <a:noFill/>
                    <a:ln>
                      <a:noFill/>
                    </a:ln>
                  </pic:spPr>
                </pic:pic>
              </a:graphicData>
            </a:graphic>
          </wp:inline>
        </w:drawing>
      </w:r>
    </w:p>
    <w:p>
      <w:pPr>
        <w:pageBreakBefore w:val="0"/>
        <w:kinsoku/>
        <w:wordWrap/>
        <w:overflowPunct/>
        <w:topLinePunct w:val="0"/>
        <w:autoSpaceDE/>
        <w:autoSpaceDN/>
        <w:bidi w:val="0"/>
        <w:snapToGrid w:val="0"/>
        <w:spacing w:line="36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图1 石坑崆道路受损区域现状图</w:t>
      </w:r>
    </w:p>
    <w:p>
      <w:pPr>
        <w:pageBreakBefore w:val="0"/>
        <w:kinsoku/>
        <w:wordWrap/>
        <w:overflowPunct/>
        <w:topLinePunct w:val="0"/>
        <w:autoSpaceDE/>
        <w:autoSpaceDN/>
        <w:bidi w:val="0"/>
        <w:snapToGrid w:val="0"/>
        <w:spacing w:line="360" w:lineRule="auto"/>
        <w:jc w:val="center"/>
        <w:textAlignment w:val="auto"/>
        <w:rPr>
          <w:rFonts w:hint="eastAsia" w:ascii="仿宋_GB2312" w:hAnsi="仿宋_GB2312" w:eastAsia="仿宋_GB2312" w:cs="仿宋_GB2312"/>
          <w:sz w:val="24"/>
          <w:szCs w:val="24"/>
        </w:rPr>
      </w:pPr>
      <w:r>
        <w:drawing>
          <wp:inline distT="0" distB="0" distL="114300" distR="114300">
            <wp:extent cx="4594860" cy="231648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594860" cy="2316480"/>
                    </a:xfrm>
                    <a:prstGeom prst="rect">
                      <a:avLst/>
                    </a:prstGeom>
                    <a:noFill/>
                    <a:ln>
                      <a:noFill/>
                    </a:ln>
                  </pic:spPr>
                </pic:pic>
              </a:graphicData>
            </a:graphic>
          </wp:inline>
        </w:drawing>
      </w:r>
    </w:p>
    <w:p>
      <w:pPr>
        <w:pageBreakBefore w:val="0"/>
        <w:kinsoku/>
        <w:wordWrap/>
        <w:overflowPunct/>
        <w:topLinePunct w:val="0"/>
        <w:autoSpaceDE/>
        <w:autoSpaceDN/>
        <w:bidi w:val="0"/>
        <w:snapToGrid w:val="0"/>
        <w:spacing w:line="36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图2 石坑崆道路受损区域和需修复范围</w:t>
      </w:r>
    </w:p>
    <w:p>
      <w:pPr>
        <w:pageBreakBefore w:val="0"/>
        <w:kinsoku/>
        <w:wordWrap/>
        <w:overflowPunct/>
        <w:topLinePunct w:val="0"/>
        <w:autoSpaceDE/>
        <w:autoSpaceDN/>
        <w:bidi w:val="0"/>
        <w:snapToGrid w:val="0"/>
        <w:spacing w:line="360" w:lineRule="auto"/>
        <w:ind w:firstLine="2100" w:firstLineChars="1000"/>
        <w:textAlignment w:val="auto"/>
        <w:rPr>
          <w:rFonts w:hint="eastAsia" w:ascii="仿宋_GB2312" w:hAnsi="仿宋_GB2312" w:eastAsia="仿宋_GB2312" w:cs="仿宋_GB2312"/>
        </w:rPr>
      </w:pPr>
    </w:p>
    <w:p>
      <w:pPr>
        <w:pageBreakBefore w:val="0"/>
        <w:kinsoku/>
        <w:wordWrap/>
        <w:overflowPunct/>
        <w:topLinePunct w:val="0"/>
        <w:autoSpaceDE/>
        <w:autoSpaceDN/>
        <w:bidi w:val="0"/>
        <w:snapToGrid w:val="0"/>
        <w:spacing w:line="360" w:lineRule="auto"/>
        <w:jc w:val="center"/>
        <w:textAlignment w:val="auto"/>
        <w:rPr>
          <w:rFonts w:hint="eastAsia" w:ascii="仿宋_GB2312" w:hAnsi="仿宋_GB2312" w:eastAsia="仿宋_GB2312" w:cs="仿宋_GB2312"/>
        </w:rPr>
      </w:pPr>
      <w:r>
        <w:drawing>
          <wp:inline distT="0" distB="0" distL="114300" distR="114300">
            <wp:extent cx="4625340" cy="2598420"/>
            <wp:effectExtent l="0" t="0" r="762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4625340" cy="2598420"/>
                    </a:xfrm>
                    <a:prstGeom prst="rect">
                      <a:avLst/>
                    </a:prstGeom>
                    <a:noFill/>
                    <a:ln>
                      <a:noFill/>
                    </a:ln>
                  </pic:spPr>
                </pic:pic>
              </a:graphicData>
            </a:graphic>
          </wp:inline>
        </w:drawing>
      </w:r>
    </w:p>
    <w:p>
      <w:pPr>
        <w:pageBreakBefore w:val="0"/>
        <w:kinsoku/>
        <w:wordWrap/>
        <w:overflowPunct/>
        <w:topLinePunct w:val="0"/>
        <w:autoSpaceDE/>
        <w:autoSpaceDN/>
        <w:bidi w:val="0"/>
        <w:snapToGrid w:val="0"/>
        <w:spacing w:line="36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图3  道路部分上边坡现状</w:t>
      </w:r>
    </w:p>
    <w:p>
      <w:pPr>
        <w:pageBreakBefore w:val="0"/>
        <w:kinsoku/>
        <w:wordWrap/>
        <w:overflowPunct/>
        <w:topLinePunct w:val="0"/>
        <w:autoSpaceDE/>
        <w:autoSpaceDN/>
        <w:bidi w:val="0"/>
        <w:snapToGrid w:val="0"/>
        <w:spacing w:line="360" w:lineRule="auto"/>
        <w:jc w:val="center"/>
        <w:textAlignment w:val="auto"/>
        <w:rPr>
          <w:rFonts w:hint="eastAsia" w:ascii="仿宋_GB2312" w:hAnsi="仿宋_GB2312" w:eastAsia="仿宋_GB2312" w:cs="仿宋_GB2312"/>
        </w:rPr>
      </w:pPr>
    </w:p>
    <w:p>
      <w:pPr>
        <w:pageBreakBefore w:val="0"/>
        <w:kinsoku/>
        <w:wordWrap/>
        <w:overflowPunct/>
        <w:topLinePunct w:val="0"/>
        <w:autoSpaceDE/>
        <w:autoSpaceDN/>
        <w:bidi w:val="0"/>
        <w:snapToGrid w:val="0"/>
        <w:spacing w:line="360" w:lineRule="auto"/>
        <w:jc w:val="center"/>
        <w:textAlignment w:val="auto"/>
        <w:rPr>
          <w:rFonts w:hint="eastAsia" w:ascii="仿宋_GB2312" w:hAnsi="仿宋_GB2312" w:eastAsia="仿宋_GB2312" w:cs="仿宋_GB2312"/>
        </w:rPr>
      </w:pPr>
      <w:r>
        <w:drawing>
          <wp:inline distT="0" distB="0" distL="114300" distR="114300">
            <wp:extent cx="4130040" cy="46634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4130040" cy="4663440"/>
                    </a:xfrm>
                    <a:prstGeom prst="rect">
                      <a:avLst/>
                    </a:prstGeom>
                    <a:noFill/>
                    <a:ln>
                      <a:noFill/>
                    </a:ln>
                  </pic:spPr>
                </pic:pic>
              </a:graphicData>
            </a:graphic>
          </wp:inline>
        </w:drawing>
      </w:r>
    </w:p>
    <w:p>
      <w:pPr>
        <w:pageBreakBefore w:val="0"/>
        <w:kinsoku/>
        <w:wordWrap/>
        <w:overflowPunct/>
        <w:topLinePunct w:val="0"/>
        <w:autoSpaceDE/>
        <w:autoSpaceDN/>
        <w:bidi w:val="0"/>
        <w:snapToGrid w:val="0"/>
        <w:spacing w:line="360" w:lineRule="auto"/>
        <w:jc w:val="center"/>
        <w:textAlignment w:val="auto"/>
        <w:rPr>
          <w:rFonts w:hint="eastAsia" w:ascii="仿宋_GB2312" w:hAnsi="仿宋_GB2312" w:eastAsia="仿宋_GB2312" w:cs="仿宋_GB2312"/>
        </w:rPr>
      </w:pPr>
      <w:r>
        <w:rPr>
          <w:rFonts w:hint="eastAsia" w:ascii="仿宋_GB2312" w:hAnsi="仿宋_GB2312" w:eastAsia="仿宋_GB2312" w:cs="仿宋_GB2312"/>
          <w:sz w:val="24"/>
          <w:szCs w:val="24"/>
        </w:rPr>
        <w:t>图4 道路部分上边坡及下边坡局部概貌图</w:t>
      </w:r>
    </w:p>
    <w:bookmarkEnd w:id="43"/>
    <w:p>
      <w:pPr>
        <w:pStyle w:val="7"/>
        <w:rPr>
          <w:rFonts w:hint="eastAsia" w:ascii="宋体" w:hAnsi="宋体" w:eastAsia="宋体" w:cs="宋体"/>
          <w:b/>
          <w:bCs/>
          <w:sz w:val="21"/>
          <w:szCs w:val="21"/>
          <w:lang w:eastAsia="zh-CN"/>
        </w:rPr>
      </w:pPr>
    </w:p>
    <w:p>
      <w:pPr>
        <w:pStyle w:val="7"/>
        <w:rPr>
          <w:rFonts w:hint="default" w:ascii="宋体" w:hAnsi="宋体" w:eastAsia="宋体" w:cs="宋体"/>
          <w:b/>
          <w:bCs/>
          <w:sz w:val="21"/>
          <w:szCs w:val="21"/>
          <w:lang w:val="en-US" w:eastAsia="zh-CN"/>
        </w:rPr>
      </w:pPr>
    </w:p>
    <w:p>
      <w:pPr>
        <w:pStyle w:val="3"/>
        <w:pageBreakBefore w:val="0"/>
        <w:kinsoku/>
        <w:wordWrap/>
        <w:overflowPunct/>
        <w:topLinePunct w:val="0"/>
        <w:autoSpaceDE/>
        <w:autoSpaceDN/>
        <w:bidi w:val="0"/>
        <w:spacing w:line="360" w:lineRule="auto"/>
        <w:textAlignment w:val="auto"/>
        <w:rPr>
          <w:rFonts w:hint="eastAsia" w:ascii="宋体" w:hAnsi="宋体" w:eastAsia="宋体" w:cs="宋体"/>
          <w:sz w:val="21"/>
          <w:szCs w:val="21"/>
        </w:rPr>
      </w:pPr>
      <w:r>
        <w:rPr>
          <w:rFonts w:hint="eastAsia" w:ascii="宋体" w:hAnsi="宋体" w:eastAsia="宋体" w:cs="宋体"/>
          <w:b/>
          <w:bCs/>
          <w:sz w:val="21"/>
          <w:szCs w:val="21"/>
          <w:lang w:eastAsia="zh-CN"/>
        </w:rPr>
        <w:t>三、</w:t>
      </w:r>
      <w:r>
        <w:rPr>
          <w:rFonts w:hint="eastAsia" w:ascii="宋体" w:hAnsi="宋体" w:eastAsia="宋体" w:cs="宋体"/>
          <w:sz w:val="21"/>
          <w:szCs w:val="21"/>
          <w:lang w:eastAsia="zh-CN"/>
        </w:rPr>
        <w:t>实施</w:t>
      </w:r>
      <w:r>
        <w:rPr>
          <w:rFonts w:hint="eastAsia" w:ascii="宋体" w:hAnsi="宋体" w:eastAsia="宋体" w:cs="宋体"/>
          <w:sz w:val="21"/>
          <w:szCs w:val="21"/>
        </w:rPr>
        <w:t xml:space="preserve">内容 </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针对石坑崆道路受损地区，开展地质、植被、生态胁迫因子等调查，具体内容包括：</w:t>
      </w:r>
    </w:p>
    <w:p>
      <w:pPr>
        <w:pStyle w:val="4"/>
        <w:pageBreakBefore w:val="0"/>
        <w:kinsoku/>
        <w:wordWrap/>
        <w:overflowPunct/>
        <w:topLinePunct w:val="0"/>
        <w:autoSpaceDE/>
        <w:autoSpaceDN/>
        <w:bidi w:val="0"/>
        <w:spacing w:line="360" w:lineRule="auto"/>
        <w:textAlignment w:val="auto"/>
        <w:rPr>
          <w:rFonts w:hint="eastAsia" w:ascii="宋体" w:hAnsi="宋体" w:eastAsia="宋体" w:cs="宋体"/>
          <w:sz w:val="21"/>
          <w:szCs w:val="21"/>
        </w:rPr>
      </w:pPr>
      <w:bookmarkStart w:id="22" w:name="_Toc28870"/>
      <w:r>
        <w:rPr>
          <w:rFonts w:hint="eastAsia" w:ascii="宋体" w:hAnsi="宋体" w:eastAsia="宋体" w:cs="宋体"/>
          <w:sz w:val="21"/>
          <w:szCs w:val="21"/>
          <w:lang w:eastAsia="zh-CN"/>
        </w:rPr>
        <w:t>（一）</w:t>
      </w:r>
      <w:r>
        <w:rPr>
          <w:rFonts w:hint="eastAsia" w:ascii="宋体" w:hAnsi="宋体" w:eastAsia="宋体" w:cs="宋体"/>
          <w:sz w:val="21"/>
          <w:szCs w:val="21"/>
        </w:rPr>
        <w:t>植物与植被现状调查、结果分析</w:t>
      </w:r>
      <w:bookmarkEnd w:id="22"/>
    </w:p>
    <w:p>
      <w:pPr>
        <w:pStyle w:val="5"/>
        <w:pageBreakBefore w:val="0"/>
        <w:kinsoku/>
        <w:wordWrap/>
        <w:overflowPunct/>
        <w:topLinePunct w:val="0"/>
        <w:autoSpaceDE/>
        <w:autoSpaceDN/>
        <w:bidi w:val="0"/>
        <w:spacing w:line="360" w:lineRule="auto"/>
        <w:textAlignment w:val="auto"/>
        <w:rPr>
          <w:rFonts w:hint="eastAsia" w:ascii="宋体" w:hAnsi="宋体" w:eastAsia="宋体" w:cs="宋体"/>
          <w:sz w:val="21"/>
          <w:szCs w:val="21"/>
        </w:rPr>
      </w:pPr>
      <w:bookmarkStart w:id="23" w:name="_Toc29955"/>
      <w:r>
        <w:rPr>
          <w:rFonts w:hint="eastAsia" w:ascii="宋体" w:hAnsi="宋体" w:eastAsia="宋体" w:cs="宋体"/>
          <w:sz w:val="21"/>
          <w:szCs w:val="21"/>
          <w:lang w:val="en-US" w:eastAsia="zh-CN"/>
        </w:rPr>
        <w:t>1、</w:t>
      </w:r>
      <w:r>
        <w:rPr>
          <w:rFonts w:hint="eastAsia" w:ascii="宋体" w:hAnsi="宋体" w:eastAsia="宋体" w:cs="宋体"/>
          <w:sz w:val="21"/>
          <w:szCs w:val="21"/>
        </w:rPr>
        <w:t>植物、植被现状调查--对象、区域、方法</w:t>
      </w:r>
      <w:bookmarkEnd w:id="23"/>
    </w:p>
    <w:p>
      <w:pPr>
        <w:pageBreakBefore w:val="0"/>
        <w:kinsoku/>
        <w:wordWrap/>
        <w:overflowPunct/>
        <w:topLinePunct w:val="0"/>
        <w:autoSpaceDE/>
        <w:autoSpaceDN/>
        <w:bidi w:val="0"/>
        <w:snapToGri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    调查对象：植物（物种组成、生存状况）、植被（种类组成、群落结构、演替状况）、生境特征。</w:t>
      </w:r>
    </w:p>
    <w:p>
      <w:pPr>
        <w:pageBreakBefore w:val="0"/>
        <w:kinsoku/>
        <w:wordWrap/>
        <w:overflowPunct/>
        <w:topLinePunct w:val="0"/>
        <w:autoSpaceDE/>
        <w:autoSpaceDN/>
        <w:bidi w:val="0"/>
        <w:snapToGri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    调查区域：石坑崆8公里道路沿线，植物生长区域，两侧植被分布区域往里侧30-100米范围，以及群落可能的影响区域；生境扩展（如水污染、环境污染）影响区域。</w:t>
      </w:r>
    </w:p>
    <w:p>
      <w:pPr>
        <w:pageBreakBefore w:val="0"/>
        <w:kinsoku/>
        <w:wordWrap/>
        <w:overflowPunct/>
        <w:topLinePunct w:val="0"/>
        <w:autoSpaceDE/>
        <w:autoSpaceDN/>
        <w:bidi w:val="0"/>
        <w:snapToGri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    调查方法：标本采集、鉴定（分类学、形态--地理学方法）、群落调查--植被生态学方法（根据植物群落状况，设计20*20 m</w:t>
      </w:r>
      <w:r>
        <w:rPr>
          <w:rFonts w:hint="eastAsia" w:ascii="宋体" w:hAnsi="宋体" w:eastAsia="宋体" w:cs="宋体"/>
          <w:sz w:val="21"/>
          <w:szCs w:val="21"/>
          <w:vertAlign w:val="superscript"/>
        </w:rPr>
        <w:t>2</w:t>
      </w:r>
      <w:r>
        <w:rPr>
          <w:rFonts w:hint="eastAsia" w:ascii="宋体" w:hAnsi="宋体" w:eastAsia="宋体" w:cs="宋体"/>
          <w:sz w:val="21"/>
          <w:szCs w:val="21"/>
        </w:rPr>
        <w:t>, 10*10m</w:t>
      </w:r>
      <w:r>
        <w:rPr>
          <w:rFonts w:hint="eastAsia" w:ascii="宋体" w:hAnsi="宋体" w:eastAsia="宋体" w:cs="宋体"/>
          <w:sz w:val="21"/>
          <w:szCs w:val="21"/>
          <w:vertAlign w:val="superscript"/>
        </w:rPr>
        <w:t>2</w:t>
      </w:r>
      <w:r>
        <w:rPr>
          <w:rFonts w:hint="eastAsia" w:ascii="宋体" w:hAnsi="宋体" w:eastAsia="宋体" w:cs="宋体"/>
          <w:sz w:val="21"/>
          <w:szCs w:val="21"/>
        </w:rPr>
        <w:t>, 5*5 m</w:t>
      </w:r>
      <w:r>
        <w:rPr>
          <w:rFonts w:hint="eastAsia" w:ascii="宋体" w:hAnsi="宋体" w:eastAsia="宋体" w:cs="宋体"/>
          <w:sz w:val="21"/>
          <w:szCs w:val="21"/>
          <w:vertAlign w:val="superscript"/>
        </w:rPr>
        <w:t>2</w:t>
      </w:r>
      <w:r>
        <w:rPr>
          <w:rFonts w:hint="eastAsia" w:ascii="宋体" w:hAnsi="宋体" w:eastAsia="宋体" w:cs="宋体"/>
          <w:sz w:val="21"/>
          <w:szCs w:val="21"/>
        </w:rPr>
        <w:t>, 2*2 m</w:t>
      </w:r>
      <w:r>
        <w:rPr>
          <w:rFonts w:hint="eastAsia" w:ascii="宋体" w:hAnsi="宋体" w:eastAsia="宋体" w:cs="宋体"/>
          <w:sz w:val="21"/>
          <w:szCs w:val="21"/>
          <w:vertAlign w:val="superscript"/>
        </w:rPr>
        <w:t>2</w:t>
      </w:r>
      <w:r>
        <w:rPr>
          <w:rFonts w:hint="eastAsia" w:ascii="宋体" w:hAnsi="宋体" w:eastAsia="宋体" w:cs="宋体"/>
          <w:sz w:val="21"/>
          <w:szCs w:val="21"/>
        </w:rPr>
        <w:t>样方调查，或30-100 m 样线调查）等。生境调查，针对水体、土壤、污染，以及阴生、阳生、旱生、砂生、附生、寄生等习性调查。若有需要即补充专项调查，如土壤另设理化专题调查。</w:t>
      </w:r>
    </w:p>
    <w:p>
      <w:pPr>
        <w:pStyle w:val="5"/>
        <w:pageBreakBefore w:val="0"/>
        <w:kinsoku/>
        <w:wordWrap/>
        <w:overflowPunct/>
        <w:topLinePunct w:val="0"/>
        <w:autoSpaceDE/>
        <w:autoSpaceDN/>
        <w:bidi w:val="0"/>
        <w:spacing w:line="360" w:lineRule="auto"/>
        <w:textAlignment w:val="auto"/>
        <w:rPr>
          <w:rFonts w:hint="eastAsia" w:ascii="宋体" w:hAnsi="宋体" w:eastAsia="宋体" w:cs="宋体"/>
          <w:sz w:val="21"/>
          <w:szCs w:val="21"/>
        </w:rPr>
      </w:pPr>
      <w:bookmarkStart w:id="24" w:name="_Toc28171"/>
      <w:r>
        <w:rPr>
          <w:rFonts w:hint="eastAsia" w:ascii="宋体" w:hAnsi="宋体" w:eastAsia="宋体" w:cs="宋体"/>
          <w:sz w:val="21"/>
          <w:szCs w:val="21"/>
          <w:lang w:val="en-US" w:eastAsia="zh-CN"/>
        </w:rPr>
        <w:t>2、</w:t>
      </w:r>
      <w:r>
        <w:rPr>
          <w:rFonts w:hint="eastAsia" w:ascii="宋体" w:hAnsi="宋体" w:eastAsia="宋体" w:cs="宋体"/>
          <w:sz w:val="21"/>
          <w:szCs w:val="21"/>
        </w:rPr>
        <w:t>预期结果、分析</w:t>
      </w:r>
      <w:bookmarkEnd w:id="24"/>
    </w:p>
    <w:p>
      <w:pPr>
        <w:pageBreakBefore w:val="0"/>
        <w:kinsoku/>
        <w:wordWrap/>
        <w:overflowPunct/>
        <w:topLinePunct w:val="0"/>
        <w:autoSpaceDE/>
        <w:autoSpaceDN/>
        <w:bidi w:val="0"/>
        <w:snapToGri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    在南岭石坑崆段开展道路全线调查，沿道路两侧至里侧10-30 m范围针对植物、植被、生境现状进行调查，根据各斑块的受损情况，布置相应的样方、样线开展调查。例如乔木样地10m*10m,20m*20m，灌木样方10m*10m, 5m*5m, 草本样方2m*2m, 1m*1m，配合样线或样带（1-3 m宽）。获得下列各项数据：</w:t>
      </w:r>
    </w:p>
    <w:p>
      <w:pPr>
        <w:pageBreakBefore w:val="0"/>
        <w:kinsoku/>
        <w:wordWrap/>
        <w:overflowPunct/>
        <w:topLinePunct w:val="0"/>
        <w:autoSpaceDE/>
        <w:autoSpaceDN/>
        <w:bidi w:val="0"/>
        <w:snapToGri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   （1）栽培种调查。开展道路8公里范围全线调查，记录栽培种的物种信息、分布、生长状况、扩散状况，可能的危害状况、危害程度。</w:t>
      </w:r>
    </w:p>
    <w:p>
      <w:pPr>
        <w:pageBreakBefore w:val="0"/>
        <w:kinsoku/>
        <w:wordWrap/>
        <w:overflowPunct/>
        <w:topLinePunct w:val="0"/>
        <w:autoSpaceDE/>
        <w:autoSpaceDN/>
        <w:bidi w:val="0"/>
        <w:snapToGri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   （2）入侵种、外来种、逸生种调查。开展道路8公里范围全线调查，记录外来种、逸生的物种信息、生长状况、扩散状况，可能的危害状况、危害程度。</w:t>
      </w:r>
    </w:p>
    <w:p>
      <w:pPr>
        <w:pageBreakBefore w:val="0"/>
        <w:kinsoku/>
        <w:wordWrap/>
        <w:overflowPunct/>
        <w:topLinePunct w:val="0"/>
        <w:autoSpaceDE/>
        <w:autoSpaceDN/>
        <w:bidi w:val="0"/>
        <w:snapToGri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   （3）本土种、植被结构调查。沿线本土物种多样性调查，记录植被带、片层，与地块、斑块性质，设置植被样方、样线，调查植被带、斑块的组成、结构、演替特点, 分析受损状况。针对当地沿线，开展区域本土种、自然植被对照调查。开展对比分析受损情况。</w:t>
      </w:r>
    </w:p>
    <w:p>
      <w:pPr>
        <w:pageBreakBefore w:val="0"/>
        <w:kinsoku/>
        <w:wordWrap/>
        <w:overflowPunct/>
        <w:topLinePunct w:val="0"/>
        <w:autoSpaceDE/>
        <w:autoSpaceDN/>
        <w:bidi w:val="0"/>
        <w:snapToGrid w:val="0"/>
        <w:spacing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（4）本土种、斑块扩展状况。特别判别0-5 m范围本土物种生长状况，受损状况，本土种扩散状况；针对10-30-100 m范围, 记录、分析物种的扩散或系统受损状况。</w:t>
      </w:r>
    </w:p>
    <w:p>
      <w:pPr>
        <w:pStyle w:val="4"/>
        <w:pageBreakBefore w:val="0"/>
        <w:kinsoku/>
        <w:wordWrap/>
        <w:overflowPunct/>
        <w:topLinePunct w:val="0"/>
        <w:autoSpaceDE/>
        <w:autoSpaceDN/>
        <w:bidi w:val="0"/>
        <w:spacing w:line="360" w:lineRule="auto"/>
        <w:textAlignment w:val="auto"/>
        <w:rPr>
          <w:rFonts w:hint="eastAsia" w:ascii="宋体" w:hAnsi="宋体" w:eastAsia="宋体" w:cs="宋体"/>
          <w:sz w:val="21"/>
          <w:szCs w:val="21"/>
        </w:rPr>
      </w:pPr>
      <w:bookmarkStart w:id="25" w:name="_Toc2985"/>
      <w:r>
        <w:rPr>
          <w:rFonts w:hint="eastAsia" w:ascii="宋体" w:hAnsi="宋体" w:eastAsia="宋体" w:cs="宋体"/>
          <w:sz w:val="21"/>
          <w:szCs w:val="21"/>
          <w:lang w:eastAsia="zh-CN"/>
        </w:rPr>
        <w:t>（二）</w:t>
      </w:r>
      <w:r>
        <w:rPr>
          <w:rFonts w:hint="eastAsia" w:ascii="宋体" w:hAnsi="宋体" w:eastAsia="宋体" w:cs="宋体"/>
          <w:sz w:val="21"/>
          <w:szCs w:val="21"/>
        </w:rPr>
        <w:t xml:space="preserve"> 动物现状调查、结果分析</w:t>
      </w:r>
      <w:bookmarkEnd w:id="25"/>
    </w:p>
    <w:p>
      <w:pPr>
        <w:pStyle w:val="5"/>
        <w:pageBreakBefore w:val="0"/>
        <w:kinsoku/>
        <w:wordWrap/>
        <w:overflowPunct/>
        <w:topLinePunct w:val="0"/>
        <w:autoSpaceDE/>
        <w:autoSpaceDN/>
        <w:bidi w:val="0"/>
        <w:spacing w:line="360" w:lineRule="auto"/>
        <w:textAlignment w:val="auto"/>
        <w:rPr>
          <w:rFonts w:hint="eastAsia" w:ascii="宋体" w:hAnsi="宋体" w:eastAsia="宋体" w:cs="宋体"/>
          <w:sz w:val="21"/>
          <w:szCs w:val="21"/>
        </w:rPr>
      </w:pPr>
      <w:bookmarkStart w:id="26" w:name="_Toc2779"/>
      <w:r>
        <w:rPr>
          <w:rFonts w:hint="eastAsia" w:ascii="宋体" w:hAnsi="宋体" w:eastAsia="宋体" w:cs="宋体"/>
          <w:sz w:val="21"/>
          <w:szCs w:val="21"/>
          <w:lang w:val="en-US" w:eastAsia="zh-CN"/>
        </w:rPr>
        <w:t>1、</w:t>
      </w:r>
      <w:r>
        <w:rPr>
          <w:rFonts w:hint="eastAsia" w:ascii="宋体" w:hAnsi="宋体" w:eastAsia="宋体" w:cs="宋体"/>
          <w:sz w:val="21"/>
          <w:szCs w:val="21"/>
        </w:rPr>
        <w:t>现状调查--对象、区域、方法</w:t>
      </w:r>
      <w:bookmarkEnd w:id="26"/>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调查对象：本次现状调查，主要针对两栖动物、爬行动物、鸟类和哺乳动物。</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调查区域：以围绕道路对区域生态系统的影响以及动物与道路的关系为目标；主要包含3个相互连接的平行区域，即道路、道路两侧受损区域（包括崖壁、边坡、堆土）、道路两侧100 m范围内。</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调查方法：采用综合技术方法，包括野外常规调查、红外相机陷阱（动物影像）、录音器陷阱法（动物声纹）、粪便和呕吐物的分子鉴定等。</w:t>
      </w:r>
    </w:p>
    <w:p>
      <w:pPr>
        <w:pStyle w:val="5"/>
        <w:pageBreakBefore w:val="0"/>
        <w:kinsoku/>
        <w:wordWrap/>
        <w:overflowPunct/>
        <w:topLinePunct w:val="0"/>
        <w:autoSpaceDE/>
        <w:autoSpaceDN/>
        <w:bidi w:val="0"/>
        <w:spacing w:line="360" w:lineRule="auto"/>
        <w:textAlignment w:val="auto"/>
        <w:rPr>
          <w:rFonts w:hint="eastAsia" w:ascii="宋体" w:hAnsi="宋体" w:eastAsia="宋体" w:cs="宋体"/>
          <w:sz w:val="21"/>
          <w:szCs w:val="21"/>
        </w:rPr>
      </w:pPr>
      <w:bookmarkStart w:id="27" w:name="_Toc28307"/>
      <w:r>
        <w:rPr>
          <w:rFonts w:hint="eastAsia" w:ascii="宋体" w:hAnsi="宋体" w:eastAsia="宋体" w:cs="宋体"/>
          <w:sz w:val="21"/>
          <w:szCs w:val="21"/>
          <w:lang w:val="en-US" w:eastAsia="zh-CN"/>
        </w:rPr>
        <w:t>2、</w:t>
      </w:r>
      <w:r>
        <w:rPr>
          <w:rFonts w:hint="eastAsia" w:ascii="宋体" w:hAnsi="宋体" w:eastAsia="宋体" w:cs="宋体"/>
          <w:sz w:val="21"/>
          <w:szCs w:val="21"/>
        </w:rPr>
        <w:t>预期结果、分析</w:t>
      </w:r>
      <w:bookmarkEnd w:id="27"/>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获取下列调查分析数据：①动物多样性组成；②物种数量、分布及时间节律；③多样性时空分布特征；④道路对动物行为的影响（汇集、通道、求偶、筑巢等）；⑤鸟类与植被关系，确定鸟类偏好的植被和栖地类型，并重点统计鸟类食源植物、停栖偏好，以及鸟类繁殖生境选择与植被关系等；⑥致胁要素，包括致死陷阱、通道阻断、干扰回避和驱离等。</w:t>
      </w:r>
    </w:p>
    <w:p>
      <w:pPr>
        <w:pStyle w:val="4"/>
        <w:pageBreakBefore w:val="0"/>
        <w:kinsoku/>
        <w:wordWrap/>
        <w:overflowPunct/>
        <w:topLinePunct w:val="0"/>
        <w:autoSpaceDE/>
        <w:autoSpaceDN/>
        <w:bidi w:val="0"/>
        <w:spacing w:line="360" w:lineRule="auto"/>
        <w:textAlignment w:val="auto"/>
        <w:rPr>
          <w:rFonts w:hint="eastAsia" w:ascii="宋体" w:hAnsi="宋体" w:eastAsia="宋体" w:cs="宋体"/>
          <w:sz w:val="21"/>
          <w:szCs w:val="21"/>
        </w:rPr>
      </w:pPr>
      <w:bookmarkStart w:id="28" w:name="_Toc9011"/>
      <w:r>
        <w:rPr>
          <w:rFonts w:hint="eastAsia" w:ascii="宋体" w:hAnsi="宋体" w:eastAsia="宋体" w:cs="宋体"/>
          <w:sz w:val="21"/>
          <w:szCs w:val="21"/>
          <w:lang w:eastAsia="zh-CN"/>
        </w:rPr>
        <w:t>（三）</w:t>
      </w:r>
      <w:r>
        <w:rPr>
          <w:rFonts w:hint="eastAsia" w:ascii="宋体" w:hAnsi="宋体" w:eastAsia="宋体" w:cs="宋体"/>
          <w:sz w:val="21"/>
          <w:szCs w:val="21"/>
        </w:rPr>
        <w:t xml:space="preserve"> 土壤、微生物现状调查、结果分析</w:t>
      </w:r>
      <w:bookmarkEnd w:id="28"/>
    </w:p>
    <w:p>
      <w:pPr>
        <w:pStyle w:val="5"/>
        <w:pageBreakBefore w:val="0"/>
        <w:kinsoku/>
        <w:wordWrap/>
        <w:overflowPunct/>
        <w:topLinePunct w:val="0"/>
        <w:autoSpaceDE/>
        <w:autoSpaceDN/>
        <w:bidi w:val="0"/>
        <w:spacing w:line="360" w:lineRule="auto"/>
        <w:textAlignment w:val="auto"/>
        <w:rPr>
          <w:rFonts w:hint="eastAsia" w:ascii="宋体" w:hAnsi="宋体" w:eastAsia="宋体" w:cs="宋体"/>
          <w:sz w:val="21"/>
          <w:szCs w:val="21"/>
        </w:rPr>
      </w:pPr>
      <w:bookmarkStart w:id="29" w:name="_Toc6889"/>
      <w:r>
        <w:rPr>
          <w:rFonts w:hint="eastAsia" w:ascii="宋体" w:hAnsi="宋体" w:eastAsia="宋体" w:cs="宋体"/>
          <w:sz w:val="21"/>
          <w:szCs w:val="21"/>
          <w:lang w:val="en-US" w:eastAsia="zh-CN"/>
        </w:rPr>
        <w:t>1、</w:t>
      </w:r>
      <w:r>
        <w:rPr>
          <w:rFonts w:hint="eastAsia" w:ascii="宋体" w:hAnsi="宋体" w:eastAsia="宋体" w:cs="宋体"/>
          <w:sz w:val="21"/>
          <w:szCs w:val="21"/>
        </w:rPr>
        <w:t>受损区域或斑块的土壤、微生物现状调查</w:t>
      </w:r>
      <w:bookmarkEnd w:id="29"/>
    </w:p>
    <w:p>
      <w:pPr>
        <w:pageBreakBefore w:val="0"/>
        <w:kinsoku/>
        <w:wordWrap/>
        <w:overflowPunct/>
        <w:topLinePunct w:val="0"/>
        <w:autoSpaceDE/>
        <w:autoSpaceDN/>
        <w:bidi w:val="0"/>
        <w:snapToGri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    针对道路全线8公里范围进行调查，沿道路两侧至里侧10-30 m范围，每50 m样线设置采样点，同时在公路两侧300 m以外设置对照点30个作为对照。确定土壤、微生物可能的受损区域或斑块，采集土壤、微生物样品，进行土壤理化性质分析，评估受损状况，确定生态修复和功能提升技术方案。</w:t>
      </w:r>
    </w:p>
    <w:p>
      <w:pPr>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000000"/>
          <w:sz w:val="21"/>
          <w:szCs w:val="21"/>
        </w:rPr>
      </w:pPr>
      <w:r>
        <w:rPr>
          <w:rFonts w:hint="eastAsia" w:ascii="宋体" w:hAnsi="宋体" w:eastAsia="宋体" w:cs="宋体"/>
          <w:sz w:val="21"/>
          <w:szCs w:val="21"/>
        </w:rPr>
        <w:t xml:space="preserve">   </w:t>
      </w:r>
      <w:r>
        <w:rPr>
          <w:rFonts w:hint="eastAsia" w:ascii="宋体" w:hAnsi="宋体" w:eastAsia="宋体" w:cs="宋体"/>
          <w:color w:val="000000"/>
          <w:sz w:val="21"/>
          <w:szCs w:val="21"/>
        </w:rPr>
        <w:t>（1）土壤检测方法</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color w:val="000000"/>
          <w:sz w:val="21"/>
          <w:szCs w:val="21"/>
        </w:rPr>
        <w:t>针对受损地区的土壤，首先对土壤剖面进行野外鉴定，包括土壤颜色、湿度、质地、结构类型、紧实度、pH等指标，初步确定土壤的受损程度及类别。针对野外的监测情况，对受损区域的土壤采用五点采样法收集表层土壤（1-20 cm），进行土壤理化-生化性质监测。土壤质地鉴定通过土壤分级方法确定土壤的砂土、粉土和黏土的比例，以国际制来确定土壤质地类级。测定土壤有机质含量；采用化学提取及元素分析仪检测土壤中各养分指标如土壤总氮磷钾、速效氮磷钾、硝态氮、铵态氮等指标；采用土壤消解及电感耦合等离子体发射光谱仪、离子色谱等检测土壤中阴阳离子浓度及重金属含量等；采用X射线衍射分析检测土壤中的黏土矿物种类等。</w:t>
      </w:r>
    </w:p>
    <w:p>
      <w:pPr>
        <w:pageBreakBefore w:val="0"/>
        <w:kinsoku/>
        <w:wordWrap/>
        <w:overflowPunct/>
        <w:topLinePunct w:val="0"/>
        <w:autoSpaceDE/>
        <w:autoSpaceDN/>
        <w:bidi w:val="0"/>
        <w:snapToGri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   （1）土壤检测方法</w:t>
      </w:r>
    </w:p>
    <w:p>
      <w:pPr>
        <w:pageBreakBefore w:val="0"/>
        <w:kinsoku/>
        <w:wordWrap/>
        <w:overflowPunct/>
        <w:topLinePunct w:val="0"/>
        <w:autoSpaceDE/>
        <w:autoSpaceDN/>
        <w:bidi w:val="0"/>
        <w:snapToGrid w:val="0"/>
        <w:spacing w:line="360" w:lineRule="auto"/>
        <w:jc w:val="left"/>
        <w:textAlignment w:val="auto"/>
        <w:rPr>
          <w:rFonts w:hint="eastAsia" w:ascii="宋体" w:hAnsi="宋体" w:eastAsia="宋体" w:cs="宋体"/>
          <w:color w:val="000000"/>
          <w:sz w:val="21"/>
          <w:szCs w:val="21"/>
        </w:rPr>
      </w:pPr>
      <w:r>
        <w:rPr>
          <w:rFonts w:hint="eastAsia" w:ascii="宋体" w:hAnsi="宋体" w:eastAsia="宋体" w:cs="宋体"/>
          <w:sz w:val="21"/>
          <w:szCs w:val="21"/>
        </w:rPr>
        <w:t xml:space="preserve">    </w:t>
      </w:r>
      <w:r>
        <w:rPr>
          <w:rFonts w:hint="eastAsia" w:ascii="宋体" w:hAnsi="宋体" w:eastAsia="宋体" w:cs="宋体"/>
          <w:color w:val="000000"/>
          <w:sz w:val="21"/>
          <w:szCs w:val="21"/>
        </w:rPr>
        <w:t>采用常规土壤检测方法，针对水分、pH值、有机质、有效磷、速效钾、水解氮等进行基础检测。</w:t>
      </w:r>
    </w:p>
    <w:p>
      <w:pPr>
        <w:pageBreakBefore w:val="0"/>
        <w:kinsoku/>
        <w:wordWrap/>
        <w:overflowPunct/>
        <w:topLinePunct w:val="0"/>
        <w:autoSpaceDE/>
        <w:autoSpaceDN/>
        <w:bidi w:val="0"/>
        <w:snapToGri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   （2）微生物检测方法</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针对南岭石坑崆8公里范围，微生物检测主要涉及以下内容：</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土壤微生物生物量碳和氮的检测</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土壤微生物生物量碳、氮（SMBC、SMBN）含量用氯仿熏蒸-K</w:t>
      </w:r>
      <w:r>
        <w:rPr>
          <w:rFonts w:hint="eastAsia" w:ascii="宋体" w:hAnsi="宋体" w:eastAsia="宋体" w:cs="宋体"/>
          <w:sz w:val="21"/>
          <w:szCs w:val="21"/>
          <w:vertAlign w:val="subscript"/>
        </w:rPr>
        <w:t>2</w:t>
      </w:r>
      <w:r>
        <w:rPr>
          <w:rFonts w:hint="eastAsia" w:ascii="宋体" w:hAnsi="宋体" w:eastAsia="宋体" w:cs="宋体"/>
          <w:sz w:val="21"/>
          <w:szCs w:val="21"/>
        </w:rPr>
        <w:t>SO</w:t>
      </w:r>
      <w:r>
        <w:rPr>
          <w:rFonts w:hint="eastAsia" w:ascii="宋体" w:hAnsi="宋体" w:eastAsia="宋体" w:cs="宋体"/>
          <w:sz w:val="21"/>
          <w:szCs w:val="21"/>
          <w:vertAlign w:val="subscript"/>
        </w:rPr>
        <w:t>4</w:t>
      </w:r>
      <w:r>
        <w:rPr>
          <w:rFonts w:hint="eastAsia" w:ascii="宋体" w:hAnsi="宋体" w:eastAsia="宋体" w:cs="宋体"/>
          <w:sz w:val="21"/>
          <w:szCs w:val="21"/>
        </w:rPr>
        <w:t>浸提法测定。将待测土壤经氯仿熏蒸后，土壤中被杀死的微生物体被新加入的土壤样品中的微生物分解而放出CO</w:t>
      </w:r>
      <w:r>
        <w:rPr>
          <w:rFonts w:hint="eastAsia" w:ascii="宋体" w:hAnsi="宋体" w:eastAsia="宋体" w:cs="宋体"/>
          <w:sz w:val="21"/>
          <w:szCs w:val="21"/>
          <w:vertAlign w:val="subscript"/>
        </w:rPr>
        <w:t>2</w:t>
      </w:r>
      <w:r>
        <w:rPr>
          <w:rFonts w:hint="eastAsia" w:ascii="宋体" w:hAnsi="宋体" w:eastAsia="宋体" w:cs="宋体"/>
          <w:sz w:val="21"/>
          <w:szCs w:val="21"/>
        </w:rPr>
        <w:t>，由此计算出土样微生物中的碳量和氮量，以此大小反映微生物量的大小。</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微生物活性分析</w:t>
      </w:r>
    </w:p>
    <w:p>
      <w:pPr>
        <w:pageBreakBefore w:val="0"/>
        <w:kinsoku/>
        <w:wordWrap/>
        <w:overflowPunct/>
        <w:topLinePunct w:val="0"/>
        <w:autoSpaceDE/>
        <w:autoSpaceDN/>
        <w:bidi w:val="0"/>
        <w:snapToGrid w:val="0"/>
        <w:spacing w:line="360" w:lineRule="auto"/>
        <w:ind w:left="480"/>
        <w:textAlignment w:val="auto"/>
        <w:rPr>
          <w:rFonts w:hint="eastAsia" w:ascii="宋体" w:hAnsi="宋体" w:eastAsia="宋体" w:cs="宋体"/>
          <w:sz w:val="21"/>
          <w:szCs w:val="21"/>
        </w:rPr>
      </w:pPr>
      <w:r>
        <w:rPr>
          <w:rFonts w:hint="eastAsia" w:ascii="宋体" w:hAnsi="宋体" w:eastAsia="宋体" w:cs="宋体"/>
          <w:sz w:val="21"/>
          <w:szCs w:val="21"/>
        </w:rPr>
        <w:t>采用呼吸强度——碱吸收滴定法对待测土壤及植物组织的微生物含量进行</w:t>
      </w:r>
    </w:p>
    <w:p>
      <w:pPr>
        <w:pageBreakBefore w:val="0"/>
        <w:kinsoku/>
        <w:wordWrap/>
        <w:overflowPunct/>
        <w:topLinePunct w:val="0"/>
        <w:autoSpaceDE/>
        <w:autoSpaceDN/>
        <w:bidi w:val="0"/>
        <w:snapToGri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检测。对土样中的菌种进行24 h的二氧化氮释放量测定，用碱吸收的滴定方法，设置对照实验，得出所测二氧化碳含量，以反映土样中微生物活性大小。</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③</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根际土壤、空地土壤、植物组织微生物多样性分析</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根际土壤和空地土壤样本取样：根据研究的宿主植物内定一个中心采样点, 等距离等角度辐射4 点, 采用5 点法采样, 并对采样植物做标记。距采样植株基部10</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20 cm 处, 呈梅花形分布设5 个取样点, 除去地面枯枝落叶, 铲除表层浮土后, 垂直采集土壤深度为10 </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40 cm处的植株根系, 抖动除去大块土和杂物后, 刮下附在根系上的土壤, 即为根际土壤。空地土样采集: 距离研究宿主植物种植区60 </w:t>
      </w:r>
      <w:r>
        <w:rPr>
          <w:rFonts w:hint="eastAsia" w:ascii="宋体" w:hAnsi="宋体" w:eastAsia="宋体" w:cs="宋体"/>
          <w:sz w:val="21"/>
          <w:szCs w:val="21"/>
          <w:lang w:val="en-US" w:eastAsia="zh-CN"/>
        </w:rPr>
        <w:t>-</w:t>
      </w:r>
      <w:r>
        <w:rPr>
          <w:rFonts w:hint="eastAsia" w:ascii="宋体" w:hAnsi="宋体" w:eastAsia="宋体" w:cs="宋体"/>
          <w:sz w:val="21"/>
          <w:szCs w:val="21"/>
        </w:rPr>
        <w:t>100 m 外未种植任何植株的空地, “Z” 型随机取样, 各取样点间隔50 m, 即为空地土样。土样充分混匀后-20 ℃ 保存备用或进行核酸提取。每个样点采集3 份土样, 分析测定3 份平行数据。重点检测土壤微生物总量，土壤微生物活性，评估其对植物、植被生长分布的影响。</w:t>
      </w:r>
    </w:p>
    <w:p>
      <w:pPr>
        <w:pStyle w:val="5"/>
        <w:pageBreakBefore w:val="0"/>
        <w:kinsoku/>
        <w:wordWrap/>
        <w:overflowPunct/>
        <w:topLinePunct w:val="0"/>
        <w:autoSpaceDE/>
        <w:autoSpaceDN/>
        <w:bidi w:val="0"/>
        <w:spacing w:line="360" w:lineRule="auto"/>
        <w:textAlignment w:val="auto"/>
        <w:rPr>
          <w:rFonts w:hint="eastAsia" w:ascii="宋体" w:hAnsi="宋体" w:eastAsia="宋体" w:cs="宋体"/>
          <w:sz w:val="21"/>
          <w:szCs w:val="21"/>
        </w:rPr>
      </w:pPr>
      <w:bookmarkStart w:id="30" w:name="_Toc5174"/>
      <w:r>
        <w:rPr>
          <w:rFonts w:hint="eastAsia" w:ascii="宋体" w:hAnsi="宋体" w:eastAsia="宋体" w:cs="宋体"/>
          <w:sz w:val="21"/>
          <w:szCs w:val="21"/>
          <w:lang w:val="en-US" w:eastAsia="zh-CN"/>
        </w:rPr>
        <w:t>2、</w:t>
      </w:r>
      <w:r>
        <w:rPr>
          <w:rFonts w:hint="eastAsia" w:ascii="宋体" w:hAnsi="宋体" w:eastAsia="宋体" w:cs="宋体"/>
          <w:sz w:val="21"/>
          <w:szCs w:val="21"/>
        </w:rPr>
        <w:t>受损区域或斑块的土壤、微生物调查结果分析</w:t>
      </w:r>
      <w:bookmarkEnd w:id="30"/>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受损区域的土壤可以通过野外实地考察落实植物覆盖情况，土壤结构情况、土壤开裂情况以及盐渍化程度，大致确定受损土壤的区域及程度。</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对于受损土壤的质量的评价方法目前国际上尚无统一的标准，国内外提出的土壤评价方法有多变量指标克立格法（MVIT）、土壤质量学法、土壤质量综合评分法、土壤相对质量法、构建土壤质量指数法。对土壤质量评价指标逐步形成体系，最常用的土壤质量评价指标是分析性指标，通常包括有物理指标、化学指标和生物指标。</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物理指标包括土壤质地及粒径分布、土层厚度与根系深度、土壤容重和紧实度、孔隙度及孔隙分布、土壤结构、土壤含水量、土壤持水特性、渗透率和导水率、土壤排水性、土壤通气、土壤温度、障碍层次深度、土壤侵蚀状况、氧扩散率、土壤耕性等。</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化学指标:土壤中各种养分和土壤污染物质等的存在形态和浓度,直接影响植物生长和动物及人类健康。土壤质量的化学指标包括土壤有机碳和全氮、矿化氮、磷和钾的全量和有效量、CEC(阳离子交换量)、土壤pH、电导率(全盐量、盐基饱和度、碱化度、各种污染物存在形态和浓度等。</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（3)生物学指标:包括微生物生物量碳和氮,潜在可矿化氮、总生物量、土壤呼吸量、微生物种类与数量、生物量碳/有机总碳、呼吸量/生物量、酶活性、微生物群落指纹、根系分泌物、作物残渣等。</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color w:val="000000"/>
          <w:sz w:val="21"/>
          <w:szCs w:val="21"/>
        </w:rPr>
        <w:t>对采样土壤的生化-理化性质的受损程度可以通过将检测的土壤指标与全国第二次土壤普查的土壤指标分级标准进行比对。此标准包含土壤质量等级六级，如土壤有机质含量、全养分、速效养分、微量元素等多个指标的等级测定。</w:t>
      </w:r>
    </w:p>
    <w:p>
      <w:pPr>
        <w:pStyle w:val="4"/>
        <w:pageBreakBefore w:val="0"/>
        <w:kinsoku/>
        <w:wordWrap/>
        <w:overflowPunct/>
        <w:topLinePunct w:val="0"/>
        <w:autoSpaceDE/>
        <w:autoSpaceDN/>
        <w:bidi w:val="0"/>
        <w:spacing w:line="360" w:lineRule="auto"/>
        <w:textAlignment w:val="auto"/>
        <w:rPr>
          <w:rFonts w:hint="eastAsia" w:ascii="宋体" w:hAnsi="宋体" w:eastAsia="宋体" w:cs="宋体"/>
          <w:sz w:val="21"/>
          <w:szCs w:val="21"/>
        </w:rPr>
      </w:pPr>
      <w:bookmarkStart w:id="31" w:name="_Toc25465"/>
      <w:r>
        <w:rPr>
          <w:rFonts w:hint="eastAsia" w:ascii="宋体" w:hAnsi="宋体" w:eastAsia="宋体" w:cs="宋体"/>
          <w:sz w:val="21"/>
          <w:szCs w:val="21"/>
          <w:lang w:eastAsia="zh-CN"/>
        </w:rPr>
        <w:t>（四）</w:t>
      </w:r>
      <w:r>
        <w:rPr>
          <w:rFonts w:hint="eastAsia" w:ascii="宋体" w:hAnsi="宋体" w:eastAsia="宋体" w:cs="宋体"/>
          <w:sz w:val="21"/>
          <w:szCs w:val="21"/>
        </w:rPr>
        <w:t>生态效应调查、结果分析</w:t>
      </w:r>
      <w:bookmarkEnd w:id="31"/>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南岭石坑崆段道路建设自2012年道路硬底化建设完工后，经过了自然恢复过程，并且不同地段也受到了干扰，至今约8年，因而需从不同方面来调查、评估其所产生的生态效应，进而提出相应的生态修复设计。主要调查、分析内容包括：（1）道路的环境胁迫；（2）道路的景观生态格局与脆弱斑块分析；（3）道路的敏感种和破碎化影响基因流；（4）道路的生物入侵度分析；（5）道路的纵向效应分析。</w:t>
      </w:r>
    </w:p>
    <w:p>
      <w:pPr>
        <w:pStyle w:val="5"/>
        <w:pageBreakBefore w:val="0"/>
        <w:kinsoku/>
        <w:wordWrap/>
        <w:overflowPunct/>
        <w:topLinePunct w:val="0"/>
        <w:autoSpaceDE/>
        <w:autoSpaceDN/>
        <w:bidi w:val="0"/>
        <w:spacing w:line="360" w:lineRule="auto"/>
        <w:textAlignment w:val="auto"/>
        <w:rPr>
          <w:rFonts w:hint="eastAsia" w:ascii="宋体" w:hAnsi="宋体" w:eastAsia="宋体" w:cs="宋体"/>
          <w:sz w:val="21"/>
          <w:szCs w:val="21"/>
        </w:rPr>
      </w:pPr>
      <w:bookmarkStart w:id="32" w:name="_Toc28381"/>
      <w:r>
        <w:rPr>
          <w:rFonts w:hint="eastAsia" w:ascii="宋体" w:hAnsi="宋体" w:eastAsia="宋体" w:cs="宋体"/>
          <w:sz w:val="21"/>
          <w:szCs w:val="21"/>
          <w:lang w:val="en-US" w:eastAsia="zh-CN"/>
        </w:rPr>
        <w:t>1、</w:t>
      </w:r>
      <w:r>
        <w:rPr>
          <w:rFonts w:hint="eastAsia" w:ascii="宋体" w:hAnsi="宋体" w:eastAsia="宋体" w:cs="宋体"/>
          <w:sz w:val="21"/>
          <w:szCs w:val="21"/>
        </w:rPr>
        <w:t>生态效应现状调查</w:t>
      </w:r>
      <w:bookmarkEnd w:id="32"/>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调查区域：整个8公里道路网络及其周边斑块。</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调查对象：①道路的环境胁迫（空气环境、声环境、土壤环境、水环境）、②道路的景观生态格局与脆弱斑块分析（景观干扰度、土壤侵蚀敏感性、土壤质量指数）、③道路敏感种和破碎化影响基因流分析（植物种群年龄结构、景观破碎度）、④道路的生物入侵分析（外来种、道路长度）、⑤道路的纵向效应分析（道路宽度、道路利用强度、植被种群结构、土壤理化性质）。</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调查方法：①环境因子监测（沿道路设置带状样方，测定空气污染物含量、噪声强度、土壤含水量、水体污染物等）；②干扰强度调查；③景观格局调查（利用无人机-大疆经纬M600pro获取空间分辨率优于0.1 m 的无人机影像）；④脆弱斑块调查（对边坡破坏情况拍照、测量、记录，进行气候观测、土试样采集及地质地貌、植被调查）；⑤道路敏感种调查（基于植物实地调查）；⑥外来入侵植物调查（沿线调查，外来植物种数、盖度及环境因子如海拔、植被类型和自然度等）；⑦纵向效应调查（样带法，调查道路两侧植被、土壤理化及微生物性质、用气象仪测定道路内外环境因子）。</w:t>
      </w:r>
    </w:p>
    <w:p>
      <w:pPr>
        <w:pStyle w:val="5"/>
        <w:pageBreakBefore w:val="0"/>
        <w:kinsoku/>
        <w:wordWrap/>
        <w:overflowPunct/>
        <w:topLinePunct w:val="0"/>
        <w:autoSpaceDE/>
        <w:autoSpaceDN/>
        <w:bidi w:val="0"/>
        <w:spacing w:line="360" w:lineRule="auto"/>
        <w:textAlignment w:val="auto"/>
        <w:rPr>
          <w:rFonts w:hint="eastAsia" w:ascii="宋体" w:hAnsi="宋体" w:eastAsia="宋体" w:cs="宋体"/>
          <w:sz w:val="21"/>
          <w:szCs w:val="21"/>
        </w:rPr>
      </w:pPr>
      <w:bookmarkStart w:id="33" w:name="_Toc8467"/>
      <w:r>
        <w:rPr>
          <w:rFonts w:hint="eastAsia" w:ascii="宋体" w:hAnsi="宋体" w:eastAsia="宋体" w:cs="宋体"/>
          <w:sz w:val="21"/>
          <w:szCs w:val="21"/>
          <w:lang w:val="en-US" w:eastAsia="zh-CN"/>
        </w:rPr>
        <w:t>2、</w:t>
      </w:r>
      <w:r>
        <w:rPr>
          <w:rFonts w:hint="eastAsia" w:ascii="宋体" w:hAnsi="宋体" w:eastAsia="宋体" w:cs="宋体"/>
          <w:sz w:val="21"/>
          <w:szCs w:val="21"/>
        </w:rPr>
        <w:t>生态效应评估</w:t>
      </w:r>
      <w:bookmarkEnd w:id="33"/>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根据无人机获得的遥感影像，结合道路沿线的植被、土壤及环境因子调查，对生态效应现状进行评估。</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（1）评估环境胁迫对道路周边生境的生态效应：探讨道路环境因子造成的干扰，包括空气环境、声环境、土壤环境与水环境四个环境因子变化规律，进行道路干扰强度与生态承载力的研究。</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评估道路导致的生境破碎化对脆弱斑块的生态效应：系统分析道路及道旁景观生态格局，重点量化其中生态脆弱斑块特性。综合利用景观干扰度、土壤侵蚀敏感性和土壤质量指数完成加权叠加计算，定量化地研究石坑崆道路沿线通车、通行区域生态脆弱斑块及其造成的景观格局影响。</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评估道路对敏感种和破碎化对基因流的生态效应：基于实地调查数据，以胸径和树高确定种群个体的年龄，对离道路不同距离梯度的植物种群进行计算，分析获得不同物种种群的年龄结构和生存力分析，获得受道路建设影响较大的敏感种并预测种群的生存概率。比对物种传粉距离与道路宽度、物种在斑块中的分布状况以及斑块面积大小，评价道路建设是否存在阻断基因流的风险。</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评估道路对生物入侵的生态效应：结合实地调查的外来植物种数、盖度（％）以及环境因子，包括海拔、植被类型和自然度，计算外来植物的频度（RF）、相对多度（RC）和重要值指数（IVI）等指标。采用本团队已构建的“外来种-道路长度”模型来预测区域的外来植物丰富度，进而评估道路两侧生境外来入侵植物扩散与定居现状及格局，详细深入的研究外来植物沿道路分布、传播格局。</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评估道路的纵向效应：系统研究道路两侧的植被、土壤理化及微生物性质，以及林内与道路环境因子的差异，阐明道路宽度、道路基质及道路利用强度等不同属性对植被和土壤的影响强度和影响范围。进一步通过状态与过程模型（State-and-transition models），模拟不同道路的结构与功能状态，以及构建道路大小对森林产生效应的阈值。</w:t>
      </w:r>
    </w:p>
    <w:p>
      <w:pPr>
        <w:numPr>
          <w:ilvl w:val="0"/>
          <w:numId w:val="0"/>
        </w:numPr>
        <w:spacing w:line="360" w:lineRule="auto"/>
        <w:rPr>
          <w:rFonts w:hint="eastAsia" w:ascii="宋体" w:hAnsi="宋体" w:eastAsia="宋体" w:cs="宋体"/>
          <w:b/>
          <w:bCs/>
          <w:sz w:val="21"/>
          <w:szCs w:val="21"/>
          <w:lang w:eastAsia="zh-CN"/>
        </w:rPr>
      </w:pPr>
    </w:p>
    <w:p>
      <w:pPr>
        <w:pStyle w:val="3"/>
        <w:pageBreakBefore w:val="0"/>
        <w:kinsoku/>
        <w:wordWrap/>
        <w:overflowPunct/>
        <w:topLinePunct w:val="0"/>
        <w:autoSpaceDE/>
        <w:autoSpaceDN/>
        <w:bidi w:val="0"/>
        <w:spacing w:line="360" w:lineRule="auto"/>
        <w:textAlignment w:val="auto"/>
        <w:rPr>
          <w:rFonts w:hint="eastAsia" w:ascii="宋体" w:hAnsi="宋体" w:eastAsia="宋体" w:cs="宋体"/>
          <w:sz w:val="21"/>
          <w:szCs w:val="21"/>
        </w:rPr>
      </w:pPr>
      <w:r>
        <w:rPr>
          <w:rFonts w:hint="eastAsia" w:ascii="宋体" w:hAnsi="宋体" w:eastAsia="宋体" w:cs="宋体"/>
          <w:b/>
          <w:bCs/>
          <w:sz w:val="21"/>
          <w:szCs w:val="21"/>
          <w:lang w:eastAsia="zh-CN"/>
        </w:rPr>
        <w:t>四、</w:t>
      </w:r>
      <w:r>
        <w:rPr>
          <w:rFonts w:hint="eastAsia" w:ascii="宋体" w:hAnsi="宋体" w:eastAsia="宋体" w:cs="宋体"/>
          <w:sz w:val="21"/>
          <w:szCs w:val="21"/>
        </w:rPr>
        <w:t>实施保障</w:t>
      </w:r>
    </w:p>
    <w:p>
      <w:pPr>
        <w:pageBreakBefore w:val="0"/>
        <w:kinsoku/>
        <w:wordWrap/>
        <w:overflowPunct/>
        <w:topLinePunct w:val="0"/>
        <w:autoSpaceDE/>
        <w:autoSpaceDN/>
        <w:bidi w:val="0"/>
        <w:snapToGrid w:val="0"/>
        <w:spacing w:line="360" w:lineRule="auto"/>
        <w:textAlignment w:val="auto"/>
        <w:rPr>
          <w:rFonts w:hint="eastAsia" w:ascii="宋体" w:hAnsi="宋体" w:eastAsia="宋体" w:cs="宋体"/>
          <w:bCs/>
          <w:sz w:val="21"/>
          <w:szCs w:val="21"/>
        </w:rPr>
      </w:pPr>
      <w:r>
        <w:rPr>
          <w:rFonts w:hint="eastAsia" w:ascii="宋体" w:hAnsi="宋体" w:eastAsia="宋体" w:cs="宋体"/>
          <w:bCs/>
          <w:sz w:val="21"/>
          <w:szCs w:val="21"/>
        </w:rPr>
        <w:t xml:space="preserve">    在目标地段开展调查、评估，提出生态修复设计，到实施生态修复工程，总结、评价生态修复效果，开展科普展示教育，形成一个整体过程。</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成立项目工作组和专家组。</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编制石坑崆生态修复调查、评估、设计、技术实施、效果监测、科普教育等整体过程工作方案，明确专题、专项负责人，专题、专项时间进度，先后次序。</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组织联合生态调查，包括各专题组，实地开展考察，研讨，有利于学科交叉、融合，并提出各自相关的存在问题，以及相应解决方案。</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针对非生物因子以及地质灾害、隐患，以及各类生物因子、生态因子进行调查，分析受损状况。</w:t>
      </w:r>
    </w:p>
    <w:p>
      <w:pPr>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注意收集照片、工作规范，以便为后面生态评估提供各方面的依据。</w:t>
      </w:r>
    </w:p>
    <w:p>
      <w:pPr>
        <w:spacing w:line="360" w:lineRule="auto"/>
        <w:jc w:val="left"/>
        <w:outlineLvl w:val="0"/>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五、</w:t>
      </w:r>
      <w:r>
        <w:rPr>
          <w:rFonts w:hint="eastAsia" w:ascii="宋体" w:hAnsi="宋体" w:eastAsia="宋体" w:cs="宋体"/>
          <w:b/>
          <w:bCs/>
          <w:i w:val="0"/>
          <w:iCs w:val="0"/>
          <w:color w:val="000000"/>
          <w:kern w:val="0"/>
          <w:sz w:val="21"/>
          <w:szCs w:val="21"/>
          <w:u w:val="none"/>
          <w:lang w:val="en-US" w:eastAsia="zh-CN" w:bidi="ar"/>
        </w:rPr>
        <w:t>分部分项工程和单价措施项目清单与计价表</w:t>
      </w:r>
    </w:p>
    <w:tbl>
      <w:tblPr>
        <w:tblStyle w:val="12"/>
        <w:tblW w:w="9700" w:type="dxa"/>
        <w:tblInd w:w="96" w:type="dxa"/>
        <w:shd w:val="clear" w:color="auto" w:fill="auto"/>
        <w:tblLayout w:type="autofit"/>
        <w:tblCellMar>
          <w:top w:w="0" w:type="dxa"/>
          <w:left w:w="108" w:type="dxa"/>
          <w:bottom w:w="0" w:type="dxa"/>
          <w:right w:w="108" w:type="dxa"/>
        </w:tblCellMar>
      </w:tblPr>
      <w:tblGrid>
        <w:gridCol w:w="680"/>
        <w:gridCol w:w="2030"/>
        <w:gridCol w:w="3103"/>
        <w:gridCol w:w="773"/>
        <w:gridCol w:w="616"/>
        <w:gridCol w:w="868"/>
        <w:gridCol w:w="868"/>
        <w:gridCol w:w="762"/>
      </w:tblGrid>
      <w:tr>
        <w:tblPrEx>
          <w:shd w:val="clear" w:color="auto" w:fill="auto"/>
          <w:tblCellMar>
            <w:top w:w="0" w:type="dxa"/>
            <w:left w:w="108" w:type="dxa"/>
            <w:bottom w:w="0" w:type="dxa"/>
            <w:right w:w="108" w:type="dxa"/>
          </w:tblCellMar>
        </w:tblPrEx>
        <w:trPr>
          <w:trHeight w:val="349" w:hRule="atLeast"/>
        </w:trPr>
        <w:tc>
          <w:tcPr>
            <w:tcW w:w="9700" w:type="dxa"/>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21"/>
                <w:szCs w:val="21"/>
                <w:u w:val="none"/>
                <w:lang w:val="en-US" w:eastAsia="zh-CN" w:bidi="ar"/>
              </w:rPr>
              <w:t>分部分项工程和单价措施项目清单与计价表</w:t>
            </w:r>
          </w:p>
        </w:tc>
      </w:tr>
      <w:tr>
        <w:tblPrEx>
          <w:tblCellMar>
            <w:top w:w="0" w:type="dxa"/>
            <w:left w:w="108" w:type="dxa"/>
            <w:bottom w:w="0" w:type="dxa"/>
            <w:right w:w="108" w:type="dxa"/>
          </w:tblCellMar>
        </w:tblPrEx>
        <w:trPr>
          <w:trHeight w:val="250" w:hRule="atLeast"/>
        </w:trPr>
        <w:tc>
          <w:tcPr>
            <w:tcW w:w="5817"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工程名称：南岭石坑崆道路生态修复项目</w:t>
            </w:r>
          </w:p>
        </w:tc>
        <w:tc>
          <w:tcPr>
            <w:tcW w:w="1383" w:type="dxa"/>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20"/>
                <w:szCs w:val="20"/>
                <w:u w:val="none"/>
              </w:rPr>
            </w:pPr>
          </w:p>
        </w:tc>
        <w:tc>
          <w:tcPr>
            <w:tcW w:w="2500"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167" w:hRule="atLeast"/>
        </w:trPr>
        <w:tc>
          <w:tcPr>
            <w:tcW w:w="680"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203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项目名称</w:t>
            </w:r>
          </w:p>
        </w:tc>
        <w:tc>
          <w:tcPr>
            <w:tcW w:w="310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工作内容</w:t>
            </w:r>
          </w:p>
        </w:tc>
        <w:tc>
          <w:tcPr>
            <w:tcW w:w="77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计量单位</w:t>
            </w:r>
          </w:p>
        </w:tc>
        <w:tc>
          <w:tcPr>
            <w:tcW w:w="61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工程量</w:t>
            </w:r>
          </w:p>
        </w:tc>
        <w:tc>
          <w:tcPr>
            <w:tcW w:w="2500"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金额（元）</w:t>
            </w:r>
          </w:p>
        </w:tc>
      </w:tr>
      <w:tr>
        <w:tblPrEx>
          <w:tblCellMar>
            <w:top w:w="0" w:type="dxa"/>
            <w:left w:w="108" w:type="dxa"/>
            <w:bottom w:w="0" w:type="dxa"/>
            <w:right w:w="108" w:type="dxa"/>
          </w:tblCellMar>
        </w:tblPrEx>
        <w:trPr>
          <w:trHeight w:val="167" w:hRule="atLeast"/>
        </w:trPr>
        <w:tc>
          <w:tcPr>
            <w:tcW w:w="68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i w:val="0"/>
                <w:iCs w:val="0"/>
                <w:color w:val="000000"/>
                <w:sz w:val="20"/>
                <w:szCs w:val="20"/>
                <w:u w:val="none"/>
              </w:rPr>
            </w:pPr>
          </w:p>
        </w:tc>
        <w:tc>
          <w:tcPr>
            <w:tcW w:w="203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i w:val="0"/>
                <w:iCs w:val="0"/>
                <w:color w:val="000000"/>
                <w:sz w:val="20"/>
                <w:szCs w:val="20"/>
                <w:u w:val="none"/>
              </w:rPr>
            </w:pPr>
          </w:p>
        </w:tc>
        <w:tc>
          <w:tcPr>
            <w:tcW w:w="310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i w:val="0"/>
                <w:iCs w:val="0"/>
                <w:color w:val="000000"/>
                <w:sz w:val="20"/>
                <w:szCs w:val="20"/>
                <w:u w:val="none"/>
              </w:rPr>
            </w:pPr>
          </w:p>
        </w:tc>
        <w:tc>
          <w:tcPr>
            <w:tcW w:w="77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i w:val="0"/>
                <w:iCs w:val="0"/>
                <w:color w:val="000000"/>
                <w:sz w:val="20"/>
                <w:szCs w:val="20"/>
                <w:u w:val="none"/>
              </w:rPr>
            </w:pPr>
          </w:p>
        </w:tc>
        <w:tc>
          <w:tcPr>
            <w:tcW w:w="6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i w:val="0"/>
                <w:iCs w:val="0"/>
                <w:color w:val="000000"/>
                <w:sz w:val="20"/>
                <w:szCs w:val="20"/>
                <w:u w:val="none"/>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综合单价</w:t>
            </w:r>
          </w:p>
        </w:tc>
        <w:tc>
          <w:tcPr>
            <w:tcW w:w="869"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综合合价</w:t>
            </w: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其中</w:t>
            </w:r>
          </w:p>
        </w:tc>
      </w:tr>
      <w:tr>
        <w:tblPrEx>
          <w:tblCellMar>
            <w:top w:w="0" w:type="dxa"/>
            <w:left w:w="108" w:type="dxa"/>
            <w:bottom w:w="0" w:type="dxa"/>
            <w:right w:w="108" w:type="dxa"/>
          </w:tblCellMar>
        </w:tblPrEx>
        <w:trPr>
          <w:trHeight w:val="283" w:hRule="atLeast"/>
        </w:trPr>
        <w:tc>
          <w:tcPr>
            <w:tcW w:w="68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i w:val="0"/>
                <w:iCs w:val="0"/>
                <w:color w:val="000000"/>
                <w:sz w:val="20"/>
                <w:szCs w:val="20"/>
                <w:u w:val="none"/>
              </w:rPr>
            </w:pPr>
          </w:p>
        </w:tc>
        <w:tc>
          <w:tcPr>
            <w:tcW w:w="203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i w:val="0"/>
                <w:iCs w:val="0"/>
                <w:color w:val="000000"/>
                <w:sz w:val="20"/>
                <w:szCs w:val="20"/>
                <w:u w:val="none"/>
              </w:rPr>
            </w:pPr>
          </w:p>
        </w:tc>
        <w:tc>
          <w:tcPr>
            <w:tcW w:w="310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i w:val="0"/>
                <w:iCs w:val="0"/>
                <w:color w:val="000000"/>
                <w:sz w:val="20"/>
                <w:szCs w:val="20"/>
                <w:u w:val="none"/>
              </w:rPr>
            </w:pPr>
          </w:p>
        </w:tc>
        <w:tc>
          <w:tcPr>
            <w:tcW w:w="77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i w:val="0"/>
                <w:iCs w:val="0"/>
                <w:color w:val="000000"/>
                <w:sz w:val="20"/>
                <w:szCs w:val="20"/>
                <w:u w:val="none"/>
              </w:rPr>
            </w:pPr>
          </w:p>
        </w:tc>
        <w:tc>
          <w:tcPr>
            <w:tcW w:w="6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i w:val="0"/>
                <w:iCs w:val="0"/>
                <w:color w:val="000000"/>
                <w:sz w:val="20"/>
                <w:szCs w:val="20"/>
                <w:u w:val="none"/>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i w:val="0"/>
                <w:iCs w:val="0"/>
                <w:color w:val="000000"/>
                <w:sz w:val="20"/>
                <w:szCs w:val="20"/>
                <w:u w:val="none"/>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暂估价</w:t>
            </w: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1.1地质隐患</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沿线地质调查、隐患调查，结果分析。</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（1）无人机调查</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无人机调查</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无人机调查，全线飞行，2 人 4 天</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调查人员</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高级职称 1 人，工作4天，共4个工日</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调查人员</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初级职称 2 人，工作4天，共8个工日</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租车</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普通汽车，4天</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住宿</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 人*4 天，共12间房</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间</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（2）地质沿线野外实勘</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调查人员</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高级职称 2 人，工作8天，共16个工日</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调查人员</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初级职称 4 人，工作8天，共32个工日</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租车</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普通汽车，8天</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住宿</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 人*8 天，共48间房</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间</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（3）遥感影像</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遥感影像片</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遥感影像片，4年段（2012-2020年）</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（4）室内分析</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分析人员</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高级职称 1 人，工作13天，共13个工日</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3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分析人员</w:t>
            </w:r>
          </w:p>
        </w:tc>
        <w:tc>
          <w:tcPr>
            <w:tcW w:w="310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初级职称 4 人，工作16天，共64个工日</w:t>
            </w:r>
          </w:p>
        </w:tc>
        <w:tc>
          <w:tcPr>
            <w:tcW w:w="77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61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86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60"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1.1地质隐患合计</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1.2植物与植被</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道路两侧受损植被调查 ；区域自然植被对比调查 。</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（1）植被、样地调查</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调查人员</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高级职称 2 人，工作16日，共32个工日</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调查人员</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初级职称 8 人，工作16日，共128个工日</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租车</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普通汽车，16天</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住宿</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 人*16 天，共160间房</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间</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（2）室内分析</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分析人员</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高级职称 1 人，工作12天，共12个工日</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整理数据人员</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初级职称 3 人，工作16天，共48个工日</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1.2植物与植被合计</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1.3动物</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沿线动物、群落、功能调查 。</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（1）沿线动物、群落、功能调查</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调查人员</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高级职称 1 人，工作15天，共15个工日</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调查人员</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初级职称 4 人，工作15天，共60个工日</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租车</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普通汽车，15天</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03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住宿</w:t>
            </w:r>
          </w:p>
        </w:tc>
        <w:tc>
          <w:tcPr>
            <w:tcW w:w="310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 人*15 天，共75间房</w:t>
            </w:r>
          </w:p>
        </w:tc>
        <w:tc>
          <w:tcPr>
            <w:tcW w:w="77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间</w:t>
            </w:r>
          </w:p>
        </w:tc>
        <w:tc>
          <w:tcPr>
            <w:tcW w:w="61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86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60"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（2）室内分析</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分析人员</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高级职称 1 人，工作13天，共13个工日</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整理数据人员</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初级职称 4 人，工作16天，共64个工日</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1.3动物合计</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1.4土壤、微生物</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受损斑块土壤因子 、微生物等调查 。</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（1）受损斑块土壤因子 、微生物等调查</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调查人员</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高级职称 1 人，工作6天，共6个工日</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调查人员</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初级职称 3 人，工作6天，共18个工日</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租车</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普通汽车，6天</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住宿</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 人*6 天，共24间房</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间</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（2）室内分析</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分析人员</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高级职称 1 人，工作10天，共10个工日</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整理数据人员</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初级职称 3 人，工作12天，共36个工日</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（3）土壤分析</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样本</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15样 *每样 200数据，共3000个数据</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微生物样本</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15样 *每样 15数据，共225个数据</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1.4土壤、微生物合计</w:t>
            </w:r>
          </w:p>
        </w:tc>
        <w:tc>
          <w:tcPr>
            <w:tcW w:w="310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7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60"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1.5生态胁迫、生态效应</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道路生态因子胁迫；横向、纵向道路生态效应；综合生态评估。</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（1）综合生态评估</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调查人员</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高级职称 1 人，工作8日，共8个工日</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调查人员</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初级职称 5 人，工作8日，共40个工日</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租车</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普通汽车，8天</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住宿</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 人*8 天，共48间房</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间</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（2）室内分析</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生态因子检测</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生态因子检测 200样 *5组 *8段</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分析人员</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高级职称 1 人，工作13天，共13个工日</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整理数据人员</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初级职称 5 人，工作16日，共80个工日</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1.5生态胁迫、生态效应合计</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1.6开题评审、中期汇报、课题验收</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（1）开题评审、中期汇报、课题验收</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专家</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专家7人，工作2次，共14个工日</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交通费</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共7个专家，每人2次来回，共14次</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次</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56" w:hRule="atLeast"/>
        </w:trPr>
        <w:tc>
          <w:tcPr>
            <w:tcW w:w="6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会议业务费</w:t>
            </w:r>
          </w:p>
        </w:tc>
        <w:tc>
          <w:tcPr>
            <w:tcW w:w="3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2次</w:t>
            </w:r>
          </w:p>
        </w:tc>
        <w:tc>
          <w:tcPr>
            <w:tcW w:w="7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次</w:t>
            </w:r>
          </w:p>
        </w:tc>
        <w:tc>
          <w:tcPr>
            <w:tcW w:w="6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365" w:hRule="atLeast"/>
        </w:trPr>
        <w:tc>
          <w:tcPr>
            <w:tcW w:w="680"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1.6开题评审、中期汇报、课题验收合计</w:t>
            </w:r>
          </w:p>
        </w:tc>
        <w:tc>
          <w:tcPr>
            <w:tcW w:w="310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7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6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2"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pStyle w:val="7"/>
        <w:rPr>
          <w:rFonts w:hint="eastAsia"/>
          <w:lang w:eastAsia="zh-CN"/>
        </w:rPr>
      </w:pPr>
    </w:p>
    <w:p>
      <w:pPr>
        <w:spacing w:line="360" w:lineRule="auto"/>
        <w:jc w:val="left"/>
        <w:outlineLvl w:val="0"/>
        <w:rPr>
          <w:rFonts w:hint="eastAsia" w:ascii="宋体" w:hAnsi="宋体" w:eastAsia="宋体" w:cs="宋体"/>
          <w:b/>
          <w:bCs/>
          <w:sz w:val="21"/>
          <w:szCs w:val="21"/>
        </w:rPr>
      </w:pPr>
      <w:r>
        <w:rPr>
          <w:rFonts w:hint="eastAsia" w:ascii="宋体" w:hAnsi="宋体" w:eastAsia="宋体" w:cs="宋体"/>
          <w:b/>
          <w:bCs/>
          <w:sz w:val="21"/>
          <w:szCs w:val="21"/>
        </w:rPr>
        <w:t>五、商务要求</w:t>
      </w:r>
    </w:p>
    <w:p>
      <w:pPr>
        <w:spacing w:line="360" w:lineRule="auto"/>
        <w:outlineLvl w:val="1"/>
        <w:rPr>
          <w:rFonts w:hint="eastAsia" w:ascii="宋体" w:hAnsi="宋体" w:eastAsia="宋体" w:cs="宋体"/>
          <w:b/>
          <w:bCs/>
          <w:sz w:val="21"/>
          <w:szCs w:val="21"/>
        </w:rPr>
      </w:pPr>
      <w:r>
        <w:rPr>
          <w:rFonts w:hint="eastAsia" w:ascii="宋体" w:hAnsi="宋体" w:eastAsia="宋体" w:cs="宋体"/>
          <w:b/>
          <w:bCs/>
          <w:sz w:val="21"/>
          <w:szCs w:val="21"/>
        </w:rPr>
        <w:t>（一）标的提供时间及地点</w:t>
      </w:r>
    </w:p>
    <w:p>
      <w:pPr>
        <w:pageBreakBefore w:val="0"/>
        <w:kinsoku/>
        <w:wordWrap/>
        <w:overflowPunct/>
        <w:topLinePunct w:val="0"/>
        <w:autoSpaceDE/>
        <w:autoSpaceDN/>
        <w:bidi w:val="0"/>
        <w:snapToGrid w:val="0"/>
        <w:spacing w:line="360" w:lineRule="auto"/>
        <w:ind w:firstLine="420" w:firstLineChars="200"/>
        <w:jc w:val="left"/>
        <w:textAlignment w:val="auto"/>
        <w:rPr>
          <w:rFonts w:hint="eastAsia" w:ascii="宋体" w:hAnsi="宋体" w:eastAsia="宋体" w:cs="宋体"/>
          <w:kern w:val="0"/>
          <w:sz w:val="21"/>
          <w:szCs w:val="21"/>
        </w:rPr>
      </w:pPr>
      <w:r>
        <w:rPr>
          <w:rFonts w:hint="eastAsia" w:ascii="宋体" w:hAnsi="宋体" w:eastAsia="宋体" w:cs="宋体"/>
          <w:sz w:val="21"/>
          <w:szCs w:val="21"/>
        </w:rPr>
        <w:t>标的提供时间：</w:t>
      </w:r>
      <w:r>
        <w:rPr>
          <w:rFonts w:hint="eastAsia" w:ascii="宋体" w:hAnsi="宋体" w:eastAsia="宋体" w:cs="宋体"/>
          <w:kern w:val="0"/>
          <w:sz w:val="21"/>
          <w:szCs w:val="21"/>
        </w:rPr>
        <w:t>本项目</w:t>
      </w:r>
      <w:r>
        <w:rPr>
          <w:rFonts w:hint="eastAsia" w:ascii="宋体" w:hAnsi="宋体" w:eastAsia="宋体" w:cs="宋体"/>
          <w:kern w:val="0"/>
          <w:sz w:val="21"/>
          <w:szCs w:val="21"/>
          <w:lang w:eastAsia="zh-CN"/>
        </w:rPr>
        <w:t>实施</w:t>
      </w:r>
      <w:r>
        <w:rPr>
          <w:rFonts w:hint="eastAsia" w:ascii="宋体" w:hAnsi="宋体" w:eastAsia="宋体" w:cs="宋体"/>
          <w:kern w:val="0"/>
          <w:sz w:val="21"/>
          <w:szCs w:val="21"/>
        </w:rPr>
        <w:t>期限为</w:t>
      </w:r>
      <w:r>
        <w:rPr>
          <w:rFonts w:hint="eastAsia" w:ascii="宋体" w:hAnsi="宋体" w:eastAsia="宋体" w:cs="宋体"/>
          <w:kern w:val="0"/>
          <w:sz w:val="21"/>
          <w:szCs w:val="21"/>
          <w:lang w:val="en-US" w:eastAsia="zh-CN"/>
        </w:rPr>
        <w:t>3个月</w:t>
      </w:r>
      <w:r>
        <w:rPr>
          <w:rFonts w:hint="eastAsia" w:ascii="宋体" w:hAnsi="宋体" w:eastAsia="宋体" w:cs="宋体"/>
          <w:kern w:val="0"/>
          <w:sz w:val="21"/>
          <w:szCs w:val="21"/>
        </w:rPr>
        <w:t>，即2021年0</w:t>
      </w:r>
      <w:r>
        <w:rPr>
          <w:rFonts w:hint="eastAsia" w:ascii="宋体" w:hAnsi="宋体" w:eastAsia="宋体" w:cs="宋体"/>
          <w:kern w:val="0"/>
          <w:sz w:val="21"/>
          <w:szCs w:val="21"/>
          <w:lang w:val="en-US" w:eastAsia="zh-CN"/>
        </w:rPr>
        <w:t>6</w:t>
      </w:r>
      <w:r>
        <w:rPr>
          <w:rFonts w:hint="eastAsia" w:ascii="宋体" w:hAnsi="宋体" w:eastAsia="宋体" w:cs="宋体"/>
          <w:kern w:val="0"/>
          <w:sz w:val="21"/>
          <w:szCs w:val="21"/>
        </w:rPr>
        <w:t>月至202</w:t>
      </w: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rPr>
        <w:t>年0</w:t>
      </w:r>
      <w:r>
        <w:rPr>
          <w:rFonts w:hint="eastAsia" w:ascii="宋体" w:hAnsi="宋体" w:eastAsia="宋体" w:cs="宋体"/>
          <w:kern w:val="0"/>
          <w:sz w:val="21"/>
          <w:szCs w:val="21"/>
          <w:lang w:val="en-US" w:eastAsia="zh-CN"/>
        </w:rPr>
        <w:t>8</w:t>
      </w:r>
      <w:r>
        <w:rPr>
          <w:rFonts w:hint="eastAsia" w:ascii="宋体" w:hAnsi="宋体" w:eastAsia="宋体" w:cs="宋体"/>
          <w:kern w:val="0"/>
          <w:sz w:val="21"/>
          <w:szCs w:val="21"/>
        </w:rPr>
        <w:t>月。</w:t>
      </w:r>
    </w:p>
    <w:p>
      <w:pPr>
        <w:pageBreakBefore w:val="0"/>
        <w:kinsoku/>
        <w:wordWrap/>
        <w:overflowPunct/>
        <w:topLinePunct w:val="0"/>
        <w:autoSpaceDE/>
        <w:autoSpaceDN/>
        <w:bidi w:val="0"/>
        <w:snapToGrid w:val="0"/>
        <w:spacing w:line="360" w:lineRule="auto"/>
        <w:ind w:firstLine="1890" w:firstLineChars="9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2021年0</w:t>
      </w:r>
      <w:r>
        <w:rPr>
          <w:rFonts w:hint="eastAsia" w:ascii="宋体" w:hAnsi="宋体" w:eastAsia="宋体" w:cs="宋体"/>
          <w:kern w:val="0"/>
          <w:sz w:val="21"/>
          <w:szCs w:val="21"/>
          <w:lang w:val="en-US" w:eastAsia="zh-CN"/>
        </w:rPr>
        <w:t>6</w:t>
      </w:r>
      <w:r>
        <w:rPr>
          <w:rFonts w:hint="eastAsia" w:ascii="宋体" w:hAnsi="宋体" w:eastAsia="宋体" w:cs="宋体"/>
          <w:kern w:val="0"/>
          <w:sz w:val="21"/>
          <w:szCs w:val="21"/>
        </w:rPr>
        <w:t>月</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野外调查，样品分析，评估，结果分析。</w:t>
      </w:r>
    </w:p>
    <w:p>
      <w:pPr>
        <w:pageBreakBefore w:val="0"/>
        <w:kinsoku/>
        <w:wordWrap/>
        <w:overflowPunct/>
        <w:topLinePunct w:val="0"/>
        <w:autoSpaceDE/>
        <w:autoSpaceDN/>
        <w:bidi w:val="0"/>
        <w:snapToGrid w:val="0"/>
        <w:spacing w:line="360" w:lineRule="auto"/>
        <w:ind w:firstLine="1890" w:firstLineChars="9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2021年0</w:t>
      </w: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月</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完成本底调查，撰写结果报告。</w:t>
      </w:r>
    </w:p>
    <w:p>
      <w:pPr>
        <w:pageBreakBefore w:val="0"/>
        <w:kinsoku/>
        <w:wordWrap/>
        <w:overflowPunct/>
        <w:topLinePunct w:val="0"/>
        <w:autoSpaceDE/>
        <w:autoSpaceDN/>
        <w:bidi w:val="0"/>
        <w:snapToGrid w:val="0"/>
        <w:spacing w:line="360" w:lineRule="auto"/>
        <w:ind w:firstLine="1890" w:firstLineChars="900"/>
        <w:jc w:val="left"/>
        <w:textAlignment w:val="auto"/>
        <w:rPr>
          <w:rFonts w:hint="eastAsia" w:ascii="宋体" w:hAnsi="宋体" w:eastAsia="宋体" w:cs="宋体"/>
          <w:sz w:val="21"/>
          <w:szCs w:val="21"/>
        </w:rPr>
      </w:pPr>
      <w:r>
        <w:rPr>
          <w:rFonts w:hint="eastAsia" w:ascii="宋体" w:hAnsi="宋体" w:eastAsia="宋体" w:cs="宋体"/>
          <w:kern w:val="0"/>
          <w:sz w:val="21"/>
          <w:szCs w:val="21"/>
        </w:rPr>
        <w:t>202</w:t>
      </w: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rPr>
        <w:t>年</w:t>
      </w:r>
      <w:r>
        <w:rPr>
          <w:rFonts w:hint="eastAsia" w:ascii="宋体" w:hAnsi="宋体" w:eastAsia="宋体" w:cs="宋体"/>
          <w:kern w:val="0"/>
          <w:sz w:val="21"/>
          <w:szCs w:val="21"/>
          <w:lang w:val="en-US" w:eastAsia="zh-CN"/>
        </w:rPr>
        <w:t>08</w:t>
      </w:r>
      <w:r>
        <w:rPr>
          <w:rFonts w:hint="eastAsia" w:ascii="宋体" w:hAnsi="宋体" w:eastAsia="宋体" w:cs="宋体"/>
          <w:kern w:val="0"/>
          <w:sz w:val="21"/>
          <w:szCs w:val="21"/>
        </w:rPr>
        <w:t>月</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项目结题、验收。</w:t>
      </w:r>
    </w:p>
    <w:p>
      <w:pPr>
        <w:spacing w:line="360" w:lineRule="auto"/>
        <w:ind w:firstLine="420" w:firstLineChars="200"/>
        <w:outlineLvl w:val="1"/>
        <w:rPr>
          <w:rFonts w:hint="eastAsia" w:ascii="宋体" w:hAnsi="宋体" w:eastAsia="宋体" w:cs="宋体"/>
          <w:b/>
          <w:bCs/>
          <w:sz w:val="21"/>
          <w:szCs w:val="21"/>
          <w:lang w:eastAsia="zh-CN"/>
        </w:rPr>
      </w:pPr>
      <w:r>
        <w:rPr>
          <w:rFonts w:hint="eastAsia" w:ascii="宋体" w:hAnsi="宋体" w:eastAsia="宋体" w:cs="宋体"/>
          <w:sz w:val="21"/>
          <w:szCs w:val="21"/>
        </w:rPr>
        <w:t>标的</w:t>
      </w:r>
      <w:r>
        <w:rPr>
          <w:rFonts w:hint="eastAsia" w:ascii="宋体" w:hAnsi="宋体" w:eastAsia="宋体" w:cs="宋体"/>
          <w:color w:val="auto"/>
          <w:sz w:val="21"/>
          <w:szCs w:val="21"/>
        </w:rPr>
        <w:t>提供地点：</w:t>
      </w:r>
      <w:r>
        <w:rPr>
          <w:rFonts w:hint="eastAsia" w:ascii="宋体" w:hAnsi="宋体" w:eastAsia="宋体" w:cs="宋体"/>
          <w:color w:val="auto"/>
          <w:sz w:val="21"/>
          <w:szCs w:val="21"/>
          <w:lang w:val="en-US" w:eastAsia="zh-CN"/>
        </w:rPr>
        <w:t>广东南岭国家级自然保护区</w:t>
      </w:r>
      <w:r>
        <w:rPr>
          <w:rFonts w:hint="eastAsia" w:ascii="宋体" w:hAnsi="宋体" w:eastAsia="宋体" w:cs="宋体"/>
          <w:color w:val="auto"/>
          <w:sz w:val="21"/>
          <w:szCs w:val="21"/>
        </w:rPr>
        <w:t xml:space="preserve">（采购人指定地点）。 </w:t>
      </w:r>
      <w:r>
        <w:rPr>
          <w:rFonts w:hint="eastAsia" w:ascii="宋体" w:hAnsi="宋体" w:eastAsia="宋体" w:cs="宋体"/>
          <w:color w:val="auto"/>
          <w:sz w:val="21"/>
          <w:szCs w:val="21"/>
        </w:rPr>
        <w:br w:type="textWrapping"/>
      </w:r>
      <w:r>
        <w:rPr>
          <w:rFonts w:hint="eastAsia" w:ascii="宋体" w:hAnsi="宋体" w:eastAsia="宋体" w:cs="宋体"/>
          <w:b/>
          <w:bCs/>
          <w:color w:val="auto"/>
          <w:sz w:val="21"/>
          <w:szCs w:val="21"/>
        </w:rPr>
        <w:t>（二）</w:t>
      </w:r>
      <w:r>
        <w:rPr>
          <w:rFonts w:hint="eastAsia" w:ascii="宋体" w:hAnsi="宋体" w:eastAsia="宋体" w:cs="宋体"/>
          <w:b/>
          <w:bCs/>
          <w:color w:val="auto"/>
          <w:sz w:val="21"/>
          <w:szCs w:val="21"/>
          <w:lang w:eastAsia="zh-CN"/>
        </w:rPr>
        <w:t>付款方式</w:t>
      </w:r>
    </w:p>
    <w:p>
      <w:pPr>
        <w:spacing w:line="360" w:lineRule="auto"/>
        <w:ind w:firstLine="210" w:firstLineChars="100"/>
        <w:outlineLvl w:val="1"/>
        <w:rPr>
          <w:rFonts w:hint="eastAsia" w:ascii="宋体" w:hAnsi="宋体" w:eastAsia="宋体" w:cs="宋体"/>
          <w:b w:val="0"/>
          <w:bCs w:val="0"/>
          <w:sz w:val="21"/>
          <w:szCs w:val="21"/>
        </w:rPr>
      </w:pPr>
      <w:r>
        <w:rPr>
          <w:rFonts w:hint="eastAsia" w:ascii="宋体" w:hAnsi="宋体" w:eastAsia="宋体" w:cs="宋体"/>
          <w:b w:val="0"/>
          <w:bCs w:val="0"/>
          <w:sz w:val="21"/>
          <w:szCs w:val="21"/>
        </w:rPr>
        <w:t>1</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项目合同签订后,采购人可支付合同款30%以内的预付款给</w:t>
      </w:r>
      <w:r>
        <w:rPr>
          <w:rFonts w:hint="eastAsia" w:ascii="宋体" w:hAnsi="宋体" w:eastAsia="宋体" w:cs="宋体"/>
          <w:b w:val="0"/>
          <w:bCs w:val="0"/>
          <w:sz w:val="21"/>
          <w:szCs w:val="21"/>
          <w:lang w:eastAsia="zh-CN"/>
        </w:rPr>
        <w:t>中标人</w:t>
      </w:r>
      <w:r>
        <w:rPr>
          <w:rFonts w:hint="eastAsia" w:ascii="宋体" w:hAnsi="宋体" w:eastAsia="宋体" w:cs="宋体"/>
          <w:b w:val="0"/>
          <w:bCs w:val="0"/>
          <w:sz w:val="21"/>
          <w:szCs w:val="21"/>
        </w:rPr>
        <w:t>；</w:t>
      </w:r>
    </w:p>
    <w:p>
      <w:pPr>
        <w:spacing w:line="360" w:lineRule="auto"/>
        <w:ind w:firstLine="210" w:firstLineChars="100"/>
        <w:outlineLvl w:val="1"/>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2、项目验收</w:t>
      </w:r>
      <w:r>
        <w:rPr>
          <w:rFonts w:hint="eastAsia" w:ascii="宋体" w:hAnsi="宋体" w:eastAsia="宋体" w:cs="宋体"/>
          <w:b w:val="0"/>
          <w:bCs w:val="0"/>
          <w:sz w:val="21"/>
          <w:szCs w:val="21"/>
        </w:rPr>
        <w:t>合格后,由采购人向</w:t>
      </w:r>
      <w:r>
        <w:rPr>
          <w:rFonts w:hint="eastAsia" w:ascii="宋体" w:hAnsi="宋体" w:eastAsia="宋体" w:cs="宋体"/>
          <w:b w:val="0"/>
          <w:bCs w:val="0"/>
          <w:sz w:val="21"/>
          <w:szCs w:val="21"/>
          <w:lang w:eastAsia="zh-CN"/>
        </w:rPr>
        <w:t>中标人</w:t>
      </w:r>
      <w:r>
        <w:rPr>
          <w:rFonts w:hint="eastAsia" w:ascii="宋体" w:hAnsi="宋体" w:eastAsia="宋体" w:cs="宋体"/>
          <w:b w:val="0"/>
          <w:bCs w:val="0"/>
          <w:sz w:val="21"/>
          <w:szCs w:val="21"/>
        </w:rPr>
        <w:t>支付</w:t>
      </w:r>
      <w:r>
        <w:rPr>
          <w:rFonts w:hint="eastAsia" w:ascii="宋体" w:hAnsi="宋体" w:eastAsia="宋体" w:cs="宋体"/>
          <w:b w:val="0"/>
          <w:bCs w:val="0"/>
          <w:sz w:val="21"/>
          <w:szCs w:val="21"/>
          <w:lang w:eastAsia="zh-CN"/>
        </w:rPr>
        <w:t>剩余</w:t>
      </w:r>
      <w:r>
        <w:rPr>
          <w:rFonts w:hint="eastAsia" w:ascii="宋体" w:hAnsi="宋体" w:eastAsia="宋体" w:cs="宋体"/>
          <w:b w:val="0"/>
          <w:bCs w:val="0"/>
          <w:sz w:val="21"/>
          <w:szCs w:val="21"/>
        </w:rPr>
        <w:t>合同款</w:t>
      </w:r>
      <w:r>
        <w:rPr>
          <w:rFonts w:hint="eastAsia" w:ascii="宋体" w:hAnsi="宋体" w:eastAsia="宋体" w:cs="宋体"/>
          <w:b w:val="0"/>
          <w:bCs w:val="0"/>
          <w:sz w:val="21"/>
          <w:szCs w:val="21"/>
          <w:lang w:val="en-US" w:eastAsia="zh-CN"/>
        </w:rPr>
        <w:t>70%</w:t>
      </w:r>
      <w:r>
        <w:rPr>
          <w:rFonts w:hint="eastAsia" w:ascii="宋体" w:hAnsi="宋体" w:eastAsia="宋体" w:cs="宋体"/>
          <w:b w:val="0"/>
          <w:bCs w:val="0"/>
          <w:sz w:val="21"/>
          <w:szCs w:val="21"/>
        </w:rPr>
        <w:t>。</w:t>
      </w:r>
    </w:p>
    <w:p>
      <w:pPr>
        <w:spacing w:line="360" w:lineRule="auto"/>
        <w:outlineLvl w:val="1"/>
        <w:rPr>
          <w:rFonts w:hint="eastAsia" w:ascii="宋体" w:hAnsi="宋体" w:eastAsia="宋体" w:cs="宋体"/>
          <w:b/>
          <w:bCs/>
          <w:sz w:val="21"/>
          <w:szCs w:val="21"/>
          <w:lang w:eastAsia="zh-CN"/>
        </w:rPr>
      </w:pPr>
      <w:r>
        <w:rPr>
          <w:rFonts w:hint="eastAsia" w:ascii="宋体" w:hAnsi="宋体" w:eastAsia="宋体" w:cs="宋体"/>
          <w:b/>
          <w:bCs/>
          <w:sz w:val="21"/>
          <w:szCs w:val="21"/>
        </w:rPr>
        <w:t>（三）</w:t>
      </w:r>
      <w:r>
        <w:rPr>
          <w:rFonts w:hint="eastAsia" w:ascii="宋体" w:hAnsi="宋体" w:eastAsia="宋体" w:cs="宋体"/>
          <w:b/>
          <w:bCs/>
          <w:sz w:val="21"/>
          <w:szCs w:val="21"/>
          <w:lang w:eastAsia="zh-CN"/>
        </w:rPr>
        <w:t>验收要求设置</w:t>
      </w:r>
    </w:p>
    <w:p>
      <w:pPr>
        <w:spacing w:line="360" w:lineRule="auto"/>
        <w:ind w:firstLine="420" w:firstLineChars="200"/>
        <w:outlineLvl w:val="1"/>
        <w:rPr>
          <w:rFonts w:hint="eastAsia" w:ascii="宋体" w:hAnsi="宋体" w:eastAsia="宋体" w:cs="宋体"/>
          <w:sz w:val="21"/>
          <w:szCs w:val="21"/>
        </w:rPr>
      </w:pPr>
      <w:r>
        <w:rPr>
          <w:rFonts w:hint="eastAsia" w:ascii="宋体" w:hAnsi="宋体" w:eastAsia="宋体" w:cs="宋体"/>
          <w:sz w:val="21"/>
          <w:szCs w:val="21"/>
        </w:rPr>
        <w:t>项目完成后</w:t>
      </w:r>
      <w:r>
        <w:rPr>
          <w:rFonts w:hint="eastAsia" w:ascii="宋体" w:hAnsi="宋体" w:eastAsia="宋体" w:cs="宋体"/>
          <w:sz w:val="21"/>
          <w:szCs w:val="21"/>
          <w:lang w:eastAsia="zh-CN"/>
        </w:rPr>
        <w:t>，中标人</w:t>
      </w:r>
      <w:r>
        <w:rPr>
          <w:rFonts w:hint="eastAsia" w:ascii="宋体" w:hAnsi="宋体" w:eastAsia="宋体" w:cs="宋体"/>
          <w:sz w:val="21"/>
          <w:szCs w:val="21"/>
        </w:rPr>
        <w:t>提出验收请求，由</w:t>
      </w:r>
      <w:r>
        <w:rPr>
          <w:rFonts w:hint="eastAsia" w:ascii="宋体" w:hAnsi="宋体" w:eastAsia="宋体" w:cs="宋体"/>
          <w:sz w:val="21"/>
          <w:szCs w:val="21"/>
          <w:lang w:eastAsia="zh-CN"/>
        </w:rPr>
        <w:t>采购人</w:t>
      </w:r>
      <w:r>
        <w:rPr>
          <w:rFonts w:hint="eastAsia" w:ascii="宋体" w:hAnsi="宋体" w:eastAsia="宋体" w:cs="宋体"/>
          <w:sz w:val="21"/>
          <w:szCs w:val="21"/>
        </w:rPr>
        <w:t>组建的项目验收小组（包括</w:t>
      </w:r>
      <w:r>
        <w:rPr>
          <w:rFonts w:hint="eastAsia" w:ascii="宋体" w:hAnsi="宋体" w:eastAsia="宋体" w:cs="宋体"/>
          <w:sz w:val="21"/>
          <w:szCs w:val="21"/>
          <w:lang w:eastAsia="zh-CN"/>
        </w:rPr>
        <w:t>采购人</w:t>
      </w:r>
      <w:r>
        <w:rPr>
          <w:rFonts w:hint="eastAsia" w:ascii="宋体" w:hAnsi="宋体" w:eastAsia="宋体" w:cs="宋体"/>
          <w:sz w:val="21"/>
          <w:szCs w:val="21"/>
        </w:rPr>
        <w:t>代表、</w:t>
      </w:r>
      <w:r>
        <w:rPr>
          <w:rFonts w:hint="eastAsia" w:ascii="宋体" w:hAnsi="宋体" w:eastAsia="宋体" w:cs="宋体"/>
          <w:sz w:val="21"/>
          <w:szCs w:val="21"/>
          <w:lang w:eastAsia="zh-CN"/>
        </w:rPr>
        <w:t>采购人</w:t>
      </w:r>
      <w:r>
        <w:rPr>
          <w:rFonts w:hint="eastAsia" w:ascii="宋体" w:hAnsi="宋体" w:eastAsia="宋体" w:cs="宋体"/>
          <w:sz w:val="21"/>
          <w:szCs w:val="21"/>
        </w:rPr>
        <w:t>邀</w:t>
      </w:r>
    </w:p>
    <w:p>
      <w:pPr>
        <w:spacing w:line="360" w:lineRule="auto"/>
        <w:outlineLvl w:val="1"/>
        <w:rPr>
          <w:rFonts w:hint="eastAsia" w:ascii="宋体" w:hAnsi="宋体" w:eastAsia="宋体" w:cs="宋体"/>
          <w:sz w:val="21"/>
          <w:szCs w:val="21"/>
        </w:rPr>
      </w:pPr>
      <w:r>
        <w:rPr>
          <w:rFonts w:hint="eastAsia" w:ascii="宋体" w:hAnsi="宋体" w:eastAsia="宋体" w:cs="宋体"/>
          <w:sz w:val="21"/>
          <w:szCs w:val="21"/>
        </w:rPr>
        <w:t>请的专家等），对提交的文本报告、附图及附表等进行验收，验收费用由中标人承担。</w:t>
      </w:r>
    </w:p>
    <w:p>
      <w:pPr>
        <w:spacing w:line="360" w:lineRule="auto"/>
        <w:ind w:left="211" w:hanging="211" w:hangingChars="10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（四）报价要求</w:t>
      </w:r>
    </w:p>
    <w:p>
      <w:pPr>
        <w:spacing w:line="360" w:lineRule="auto"/>
        <w:ind w:firstLine="210" w:firstLineChars="100"/>
        <w:outlineLvl w:val="1"/>
        <w:rPr>
          <w:rFonts w:hint="eastAsia" w:ascii="宋体" w:hAnsi="宋体" w:eastAsia="宋体" w:cs="宋体"/>
          <w:sz w:val="21"/>
          <w:szCs w:val="21"/>
          <w:lang w:val="en-US" w:eastAsia="zh-CN"/>
        </w:rPr>
      </w:pPr>
      <w:r>
        <w:rPr>
          <w:rFonts w:hint="eastAsia" w:ascii="宋体" w:hAnsi="宋体" w:eastAsia="宋体" w:cs="宋体"/>
          <w:sz w:val="21"/>
          <w:szCs w:val="21"/>
        </w:rPr>
        <w:t>本项目投标报价应为包括所有费用（包括运费、税费）在内的报价，</w:t>
      </w:r>
      <w:r>
        <w:rPr>
          <w:rFonts w:hint="eastAsia" w:ascii="宋体" w:hAnsi="宋体" w:eastAsia="宋体" w:cs="宋体"/>
          <w:sz w:val="21"/>
          <w:szCs w:val="21"/>
          <w:lang w:eastAsia="zh-CN"/>
        </w:rPr>
        <w:t>中标人</w:t>
      </w:r>
      <w:r>
        <w:rPr>
          <w:rFonts w:hint="eastAsia" w:ascii="宋体" w:hAnsi="宋体" w:eastAsia="宋体" w:cs="宋体"/>
          <w:sz w:val="21"/>
          <w:szCs w:val="21"/>
          <w:lang w:eastAsia="zh-Hans"/>
        </w:rPr>
        <w:t>不</w:t>
      </w:r>
      <w:r>
        <w:rPr>
          <w:rFonts w:hint="eastAsia" w:ascii="宋体" w:hAnsi="宋体" w:eastAsia="宋体" w:cs="宋体"/>
          <w:sz w:val="21"/>
          <w:szCs w:val="21"/>
        </w:rPr>
        <w:t>得再向采购人收取任何费用。无论采购批量、配送费用存在何种差别，采购人不接受有任何选择的报价。</w:t>
      </w:r>
    </w:p>
    <w:p>
      <w:pPr>
        <w:rPr>
          <w:rFonts w:ascii="宋体"/>
          <w:szCs w:val="21"/>
        </w:rPr>
      </w:pPr>
      <w:r>
        <w:rPr>
          <w:rFonts w:hint="eastAsia" w:ascii="宋体" w:hAnsi="宋体"/>
          <w:szCs w:val="21"/>
        </w:rPr>
        <w:br w:type="page"/>
      </w:r>
    </w:p>
    <w:p>
      <w:pPr>
        <w:widowControl/>
        <w:numPr>
          <w:ilvl w:val="1"/>
          <w:numId w:val="1"/>
        </w:numPr>
        <w:spacing w:line="360" w:lineRule="auto"/>
        <w:ind w:left="0" w:firstLine="425"/>
        <w:jc w:val="left"/>
        <w:rPr>
          <w:rFonts w:ascii="宋体"/>
          <w:szCs w:val="21"/>
        </w:rPr>
      </w:pPr>
      <w:r>
        <w:rPr>
          <w:rFonts w:hint="eastAsia" w:ascii="宋体" w:hAnsi="宋体"/>
          <w:szCs w:val="21"/>
        </w:rPr>
        <w:t>本次评标采用综合评分法。评标以招标文件规定的条件为依据。评分比重如下：</w:t>
      </w:r>
    </w:p>
    <w:tbl>
      <w:tblPr>
        <w:tblStyle w:val="12"/>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2340"/>
        <w:gridCol w:w="234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vAlign w:val="center"/>
          </w:tcPr>
          <w:p>
            <w:pPr>
              <w:jc w:val="center"/>
              <w:rPr>
                <w:rFonts w:ascii="宋体"/>
                <w:b/>
                <w:bCs/>
                <w:szCs w:val="21"/>
              </w:rPr>
            </w:pPr>
            <w:r>
              <w:rPr>
                <w:rFonts w:hint="eastAsia" w:ascii="宋体" w:hAnsi="宋体"/>
                <w:b/>
                <w:bCs/>
                <w:szCs w:val="21"/>
              </w:rPr>
              <w:t>评分项目</w:t>
            </w:r>
          </w:p>
        </w:tc>
        <w:tc>
          <w:tcPr>
            <w:tcW w:w="2340" w:type="dxa"/>
            <w:vAlign w:val="center"/>
          </w:tcPr>
          <w:p>
            <w:pPr>
              <w:jc w:val="center"/>
              <w:rPr>
                <w:rFonts w:ascii="宋体"/>
                <w:b/>
                <w:bCs/>
                <w:szCs w:val="21"/>
              </w:rPr>
            </w:pPr>
            <w:r>
              <w:rPr>
                <w:rFonts w:hint="eastAsia" w:ascii="宋体" w:hAnsi="宋体"/>
                <w:b/>
                <w:bCs/>
                <w:szCs w:val="21"/>
              </w:rPr>
              <w:t>技术评分</w:t>
            </w:r>
          </w:p>
        </w:tc>
        <w:tc>
          <w:tcPr>
            <w:tcW w:w="2340" w:type="dxa"/>
            <w:vAlign w:val="center"/>
          </w:tcPr>
          <w:p>
            <w:pPr>
              <w:jc w:val="center"/>
              <w:rPr>
                <w:rFonts w:ascii="宋体"/>
                <w:b/>
                <w:bCs/>
                <w:szCs w:val="21"/>
              </w:rPr>
            </w:pPr>
            <w:r>
              <w:rPr>
                <w:rFonts w:hint="eastAsia" w:ascii="宋体" w:hAnsi="宋体"/>
                <w:b/>
                <w:bCs/>
                <w:szCs w:val="21"/>
              </w:rPr>
              <w:t>商务评分</w:t>
            </w:r>
          </w:p>
        </w:tc>
        <w:tc>
          <w:tcPr>
            <w:tcW w:w="2160" w:type="dxa"/>
            <w:vAlign w:val="center"/>
          </w:tcPr>
          <w:p>
            <w:pPr>
              <w:jc w:val="center"/>
              <w:rPr>
                <w:rFonts w:ascii="宋体"/>
                <w:b/>
                <w:bCs/>
                <w:szCs w:val="21"/>
              </w:rPr>
            </w:pPr>
            <w:r>
              <w:rPr>
                <w:rFonts w:hint="eastAsia" w:ascii="宋体" w:hAnsi="宋体"/>
                <w:b/>
                <w:bCs/>
                <w:szCs w:val="21"/>
              </w:rPr>
              <w:t>价格评分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vAlign w:val="center"/>
          </w:tcPr>
          <w:p>
            <w:pPr>
              <w:jc w:val="center"/>
              <w:rPr>
                <w:rFonts w:ascii="宋体"/>
                <w:b/>
                <w:bCs/>
                <w:szCs w:val="21"/>
              </w:rPr>
            </w:pPr>
            <w:r>
              <w:rPr>
                <w:rFonts w:hint="eastAsia" w:ascii="宋体" w:hAnsi="宋体"/>
                <w:b/>
                <w:bCs/>
                <w:szCs w:val="21"/>
              </w:rPr>
              <w:t>分值</w:t>
            </w:r>
          </w:p>
        </w:tc>
        <w:tc>
          <w:tcPr>
            <w:tcW w:w="2340" w:type="dxa"/>
            <w:vAlign w:val="center"/>
          </w:tcPr>
          <w:p>
            <w:pPr>
              <w:jc w:val="center"/>
              <w:rPr>
                <w:rFonts w:ascii="宋体" w:hAnsi="宋体"/>
                <w:b/>
                <w:bCs/>
                <w:szCs w:val="21"/>
              </w:rPr>
            </w:pPr>
            <w:r>
              <w:rPr>
                <w:rFonts w:hint="eastAsia" w:ascii="宋体" w:hAnsi="宋体"/>
                <w:b/>
                <w:bCs/>
                <w:szCs w:val="21"/>
              </w:rPr>
              <w:t>50分</w:t>
            </w:r>
          </w:p>
        </w:tc>
        <w:tc>
          <w:tcPr>
            <w:tcW w:w="2340" w:type="dxa"/>
            <w:vAlign w:val="center"/>
          </w:tcPr>
          <w:p>
            <w:pPr>
              <w:jc w:val="center"/>
              <w:rPr>
                <w:rFonts w:ascii="宋体" w:hAnsi="宋体"/>
                <w:b/>
                <w:bCs/>
                <w:szCs w:val="21"/>
              </w:rPr>
            </w:pPr>
            <w:r>
              <w:rPr>
                <w:rFonts w:hint="eastAsia" w:ascii="宋体" w:hAnsi="宋体"/>
                <w:b/>
                <w:bCs/>
                <w:szCs w:val="21"/>
                <w:lang w:val="en-US" w:eastAsia="zh-CN"/>
              </w:rPr>
              <w:t>30</w:t>
            </w:r>
            <w:r>
              <w:rPr>
                <w:rFonts w:hint="eastAsia" w:ascii="宋体" w:hAnsi="宋体"/>
                <w:b/>
                <w:bCs/>
                <w:szCs w:val="21"/>
              </w:rPr>
              <w:t>分</w:t>
            </w:r>
          </w:p>
        </w:tc>
        <w:tc>
          <w:tcPr>
            <w:tcW w:w="2160" w:type="dxa"/>
            <w:vAlign w:val="center"/>
          </w:tcPr>
          <w:p>
            <w:pPr>
              <w:jc w:val="center"/>
              <w:rPr>
                <w:rFonts w:ascii="宋体" w:hAnsi="宋体"/>
                <w:b/>
                <w:bCs/>
                <w:szCs w:val="21"/>
              </w:rPr>
            </w:pPr>
            <w:r>
              <w:rPr>
                <w:rFonts w:hint="eastAsia" w:ascii="宋体" w:hAnsi="宋体"/>
                <w:b/>
                <w:bCs/>
                <w:szCs w:val="21"/>
                <w:lang w:val="en-US" w:eastAsia="zh-CN"/>
              </w:rPr>
              <w:t>2</w:t>
            </w:r>
            <w:r>
              <w:rPr>
                <w:rFonts w:hint="eastAsia" w:ascii="宋体" w:hAnsi="宋体"/>
                <w:b/>
                <w:bCs/>
                <w:szCs w:val="21"/>
              </w:rPr>
              <w:t>0分</w:t>
            </w:r>
          </w:p>
        </w:tc>
      </w:tr>
    </w:tbl>
    <w:p>
      <w:pPr>
        <w:pStyle w:val="3"/>
        <w:spacing w:before="200" w:after="200" w:line="360" w:lineRule="auto"/>
        <w:rPr>
          <w:rFonts w:ascii="宋体"/>
          <w:szCs w:val="21"/>
        </w:rPr>
      </w:pPr>
      <w:bookmarkStart w:id="34" w:name="_Toc500873723"/>
      <w:bookmarkStart w:id="35" w:name="_Toc44420135"/>
      <w:bookmarkStart w:id="36" w:name="_Toc510444853"/>
      <w:bookmarkStart w:id="37" w:name="_Toc45192894"/>
      <w:r>
        <w:rPr>
          <w:rFonts w:hint="eastAsia" w:hAnsi="宋体"/>
          <w:sz w:val="21"/>
          <w:szCs w:val="21"/>
        </w:rPr>
        <w:t>附表</w:t>
      </w:r>
      <w:r>
        <w:rPr>
          <w:rFonts w:hint="eastAsia" w:hAnsi="宋体"/>
          <w:sz w:val="21"/>
          <w:szCs w:val="21"/>
          <w:lang w:eastAsia="zh-CN"/>
        </w:rPr>
        <w:t>一</w:t>
      </w:r>
      <w:r>
        <w:rPr>
          <w:rFonts w:hint="eastAsia" w:hAnsi="宋体"/>
          <w:sz w:val="21"/>
          <w:szCs w:val="21"/>
        </w:rPr>
        <w:t>：《技术评分表》</w:t>
      </w:r>
      <w:bookmarkEnd w:id="34"/>
      <w:bookmarkEnd w:id="35"/>
      <w:bookmarkEnd w:id="36"/>
      <w:bookmarkEnd w:id="37"/>
    </w:p>
    <w:p>
      <w:pPr>
        <w:spacing w:line="360" w:lineRule="auto"/>
        <w:jc w:val="center"/>
        <w:rPr>
          <w:rFonts w:ascii="宋体" w:hAnsi="宋体"/>
          <w:b/>
          <w:sz w:val="24"/>
          <w:szCs w:val="24"/>
        </w:rPr>
      </w:pPr>
      <w:r>
        <w:rPr>
          <w:rFonts w:hint="eastAsia" w:ascii="宋体" w:hAnsi="宋体"/>
          <w:b/>
          <w:sz w:val="24"/>
          <w:szCs w:val="24"/>
        </w:rPr>
        <w:t>技术评分表</w:t>
      </w:r>
    </w:p>
    <w:tbl>
      <w:tblPr>
        <w:tblStyle w:val="12"/>
        <w:tblW w:w="50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645"/>
        <w:gridCol w:w="1507"/>
        <w:gridCol w:w="6752"/>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07" w:hRule="atLeast"/>
          <w:tblHeader/>
          <w:jc w:val="center"/>
        </w:trPr>
        <w:tc>
          <w:tcPr>
            <w:tcW w:w="333" w:type="pct"/>
            <w:vAlign w:val="center"/>
          </w:tcPr>
          <w:p>
            <w:pPr>
              <w:adjustRightInd w:val="0"/>
              <w:snapToGrid w:val="0"/>
              <w:spacing w:line="240" w:lineRule="atLeast"/>
              <w:jc w:val="center"/>
              <w:rPr>
                <w:rFonts w:ascii="宋体" w:hAnsi="宋体" w:cs="宋体"/>
                <w:b/>
                <w:szCs w:val="21"/>
              </w:rPr>
            </w:pPr>
            <w:bookmarkStart w:id="38" w:name="_Hlk63603766"/>
            <w:r>
              <w:rPr>
                <w:rFonts w:hint="eastAsia" w:ascii="宋体" w:hAnsi="宋体" w:cs="宋体"/>
                <w:b/>
                <w:szCs w:val="21"/>
              </w:rPr>
              <w:t>序号</w:t>
            </w:r>
          </w:p>
        </w:tc>
        <w:tc>
          <w:tcPr>
            <w:tcW w:w="778" w:type="pct"/>
            <w:vAlign w:val="center"/>
          </w:tcPr>
          <w:p>
            <w:pPr>
              <w:adjustRightInd w:val="0"/>
              <w:snapToGrid w:val="0"/>
              <w:spacing w:line="240" w:lineRule="atLeast"/>
              <w:jc w:val="center"/>
              <w:rPr>
                <w:rFonts w:ascii="宋体" w:hAnsi="宋体" w:cs="宋体"/>
                <w:b/>
                <w:szCs w:val="21"/>
              </w:rPr>
            </w:pPr>
            <w:r>
              <w:rPr>
                <w:rFonts w:hint="eastAsia" w:ascii="宋体" w:hAnsi="宋体" w:cs="宋体"/>
                <w:b/>
                <w:szCs w:val="21"/>
              </w:rPr>
              <w:t>评审项目</w:t>
            </w:r>
          </w:p>
        </w:tc>
        <w:tc>
          <w:tcPr>
            <w:tcW w:w="3486" w:type="pct"/>
            <w:vAlign w:val="center"/>
          </w:tcPr>
          <w:p>
            <w:pPr>
              <w:adjustRightInd w:val="0"/>
              <w:snapToGrid w:val="0"/>
              <w:spacing w:line="240" w:lineRule="atLeast"/>
              <w:jc w:val="center"/>
              <w:rPr>
                <w:rFonts w:ascii="宋体" w:hAnsi="宋体" w:cs="宋体"/>
                <w:b/>
                <w:szCs w:val="21"/>
              </w:rPr>
            </w:pPr>
            <w:r>
              <w:rPr>
                <w:rFonts w:hint="eastAsia" w:ascii="宋体" w:hAnsi="宋体" w:cs="宋体"/>
                <w:b/>
                <w:szCs w:val="21"/>
              </w:rPr>
              <w:t>评审细则</w:t>
            </w:r>
          </w:p>
        </w:tc>
        <w:tc>
          <w:tcPr>
            <w:tcW w:w="402" w:type="pct"/>
            <w:vAlign w:val="center"/>
          </w:tcPr>
          <w:p>
            <w:pPr>
              <w:adjustRightInd w:val="0"/>
              <w:snapToGrid w:val="0"/>
              <w:spacing w:line="240" w:lineRule="atLeast"/>
              <w:jc w:val="center"/>
              <w:rPr>
                <w:rFonts w:ascii="宋体" w:hAnsi="宋体" w:cs="宋体"/>
                <w:b/>
                <w:szCs w:val="21"/>
              </w:rPr>
            </w:pPr>
            <w:r>
              <w:rPr>
                <w:rFonts w:hint="eastAsia" w:ascii="宋体" w:hAnsi="宋体" w:cs="宋体"/>
                <w:b/>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730" w:hRule="atLeast"/>
          <w:jc w:val="center"/>
        </w:trPr>
        <w:tc>
          <w:tcPr>
            <w:tcW w:w="333" w:type="pct"/>
            <w:vAlign w:val="center"/>
          </w:tcPr>
          <w:p>
            <w:pPr>
              <w:pStyle w:val="63"/>
              <w:adjustRightInd w:val="0"/>
              <w:snapToGrid w:val="0"/>
              <w:spacing w:line="240" w:lineRule="atLeast"/>
              <w:ind w:firstLine="0" w:firstLineChars="0"/>
              <w:jc w:val="center"/>
              <w:rPr>
                <w:rFonts w:ascii="宋体" w:eastAsia="宋体" w:cs="宋体"/>
                <w:bCs/>
                <w:sz w:val="21"/>
                <w:szCs w:val="21"/>
              </w:rPr>
            </w:pPr>
            <w:r>
              <w:rPr>
                <w:rFonts w:hint="eastAsia" w:ascii="宋体" w:eastAsia="宋体" w:cs="宋体"/>
                <w:bCs/>
                <w:sz w:val="21"/>
                <w:szCs w:val="21"/>
              </w:rPr>
              <w:t>1</w:t>
            </w:r>
          </w:p>
        </w:tc>
        <w:tc>
          <w:tcPr>
            <w:tcW w:w="778" w:type="pct"/>
            <w:vAlign w:val="center"/>
          </w:tcPr>
          <w:p>
            <w:pPr>
              <w:pStyle w:val="67"/>
              <w:keepNext w:val="0"/>
              <w:adjustRightInd/>
              <w:spacing w:before="0" w:after="0" w:line="240" w:lineRule="auto"/>
              <w:textAlignment w:val="auto"/>
              <w:rPr>
                <w:rFonts w:hint="eastAsia" w:ascii="宋体" w:hAnsi="宋体" w:cs="宋体"/>
                <w:bCs/>
                <w:szCs w:val="21"/>
                <w:lang w:eastAsia="zh-CN"/>
              </w:rPr>
            </w:pPr>
            <w:r>
              <w:rPr>
                <w:rFonts w:hint="eastAsia" w:ascii="宋体" w:hAnsi="宋体" w:cs="宋体"/>
                <w:color w:val="auto"/>
                <w:spacing w:val="0"/>
                <w:kern w:val="2"/>
                <w:sz w:val="21"/>
                <w:szCs w:val="21"/>
              </w:rPr>
              <w:t>项目背景资料收集情况</w:t>
            </w:r>
          </w:p>
        </w:tc>
        <w:tc>
          <w:tcPr>
            <w:tcW w:w="3486" w:type="pct"/>
            <w:vAlign w:val="center"/>
          </w:tcPr>
          <w:p>
            <w:pPr>
              <w:rPr>
                <w:rFonts w:ascii="宋体" w:hAnsi="宋体" w:eastAsia="宋体"/>
                <w:color w:val="auto"/>
                <w:sz w:val="21"/>
                <w:szCs w:val="21"/>
              </w:rPr>
            </w:pPr>
            <w:r>
              <w:rPr>
                <w:rFonts w:hint="eastAsia" w:ascii="宋体" w:hAnsi="宋体" w:eastAsia="宋体"/>
                <w:color w:val="auto"/>
                <w:sz w:val="21"/>
                <w:szCs w:val="21"/>
              </w:rPr>
              <w:t>针对本项目目标任务，收集、分析项目区社会经济、自然地理、基础地质和地质灾害背景资料进行</w:t>
            </w:r>
            <w:r>
              <w:rPr>
                <w:rFonts w:hint="eastAsia" w:ascii="宋体" w:hAnsi="宋体" w:eastAsia="宋体"/>
                <w:color w:val="auto"/>
                <w:sz w:val="21"/>
                <w:szCs w:val="21"/>
                <w:lang w:eastAsia="zh-CN"/>
              </w:rPr>
              <w:t>评比</w:t>
            </w:r>
            <w:r>
              <w:rPr>
                <w:rFonts w:hint="eastAsia" w:ascii="宋体" w:hAnsi="宋体" w:eastAsia="宋体"/>
                <w:color w:val="auto"/>
                <w:sz w:val="21"/>
                <w:szCs w:val="21"/>
              </w:rPr>
              <w:t>：</w:t>
            </w:r>
          </w:p>
          <w:p>
            <w:pPr>
              <w:rPr>
                <w:rFonts w:ascii="宋体" w:hAnsi="宋体" w:eastAsia="宋体"/>
                <w:color w:val="auto"/>
                <w:sz w:val="21"/>
                <w:szCs w:val="21"/>
              </w:rPr>
            </w:pPr>
            <w:r>
              <w:rPr>
                <w:rFonts w:hint="eastAsia" w:ascii="宋体" w:hAnsi="宋体" w:eastAsia="宋体"/>
                <w:color w:val="auto"/>
                <w:sz w:val="21"/>
                <w:szCs w:val="21"/>
              </w:rPr>
              <w:t>（</w:t>
            </w:r>
            <w:r>
              <w:rPr>
                <w:rFonts w:ascii="宋体" w:hAnsi="宋体" w:eastAsia="宋体"/>
                <w:color w:val="auto"/>
                <w:sz w:val="21"/>
                <w:szCs w:val="21"/>
              </w:rPr>
              <w:t>1</w:t>
            </w:r>
            <w:r>
              <w:rPr>
                <w:rFonts w:hint="eastAsia" w:ascii="宋体" w:hAnsi="宋体" w:eastAsia="宋体"/>
                <w:color w:val="auto"/>
                <w:sz w:val="21"/>
                <w:szCs w:val="21"/>
              </w:rPr>
              <w:t>）整体背景资料收集认识深刻、全面的得</w:t>
            </w:r>
            <w:r>
              <w:rPr>
                <w:rFonts w:hint="eastAsia" w:ascii="宋体" w:hAnsi="宋体" w:eastAsia="宋体"/>
                <w:color w:val="auto"/>
                <w:sz w:val="21"/>
                <w:szCs w:val="21"/>
                <w:lang w:val="en-US" w:eastAsia="zh-CN"/>
              </w:rPr>
              <w:t>1</w:t>
            </w:r>
            <w:r>
              <w:rPr>
                <w:rFonts w:ascii="宋体" w:hAnsi="宋体" w:eastAsia="宋体"/>
                <w:color w:val="auto"/>
                <w:sz w:val="21"/>
                <w:szCs w:val="21"/>
              </w:rPr>
              <w:t>5</w:t>
            </w:r>
            <w:r>
              <w:rPr>
                <w:rFonts w:hint="eastAsia" w:ascii="宋体" w:hAnsi="宋体" w:eastAsia="宋体"/>
                <w:color w:val="auto"/>
                <w:sz w:val="21"/>
                <w:szCs w:val="21"/>
              </w:rPr>
              <w:t>分；</w:t>
            </w:r>
          </w:p>
          <w:p>
            <w:pPr>
              <w:rPr>
                <w:rFonts w:ascii="宋体" w:hAnsi="宋体" w:eastAsia="宋体"/>
                <w:color w:val="auto"/>
                <w:sz w:val="21"/>
                <w:szCs w:val="21"/>
              </w:rPr>
            </w:pPr>
            <w:r>
              <w:rPr>
                <w:rFonts w:hint="eastAsia" w:ascii="宋体" w:hAnsi="宋体" w:eastAsia="宋体"/>
                <w:color w:val="auto"/>
                <w:sz w:val="21"/>
                <w:szCs w:val="21"/>
              </w:rPr>
              <w:t>（</w:t>
            </w:r>
            <w:r>
              <w:rPr>
                <w:rFonts w:ascii="宋体" w:hAnsi="宋体" w:eastAsia="宋体"/>
                <w:color w:val="auto"/>
                <w:sz w:val="21"/>
                <w:szCs w:val="21"/>
              </w:rPr>
              <w:t>2</w:t>
            </w:r>
            <w:r>
              <w:rPr>
                <w:rFonts w:hint="eastAsia" w:ascii="宋体" w:hAnsi="宋体" w:eastAsia="宋体"/>
                <w:color w:val="auto"/>
                <w:sz w:val="21"/>
                <w:szCs w:val="21"/>
              </w:rPr>
              <w:t>）整体背景资料收集有一定认识的得</w:t>
            </w:r>
            <w:r>
              <w:rPr>
                <w:rFonts w:hint="eastAsia" w:ascii="宋体" w:hAnsi="宋体" w:eastAsia="宋体"/>
                <w:color w:val="auto"/>
                <w:sz w:val="21"/>
                <w:szCs w:val="21"/>
                <w:lang w:val="en-US" w:eastAsia="zh-CN"/>
              </w:rPr>
              <w:t>10</w:t>
            </w:r>
            <w:r>
              <w:rPr>
                <w:rFonts w:hint="eastAsia" w:ascii="宋体" w:hAnsi="宋体" w:eastAsia="宋体"/>
                <w:color w:val="auto"/>
                <w:sz w:val="21"/>
                <w:szCs w:val="21"/>
              </w:rPr>
              <w:t>分；</w:t>
            </w:r>
          </w:p>
          <w:p>
            <w:pPr>
              <w:rPr>
                <w:rFonts w:hint="eastAsia" w:ascii="宋体" w:hAnsi="宋体" w:cs="宋体"/>
                <w:bCs/>
                <w:szCs w:val="21"/>
              </w:rPr>
            </w:pPr>
            <w:r>
              <w:rPr>
                <w:rFonts w:hint="eastAsia" w:ascii="宋体" w:hAnsi="宋体" w:eastAsia="宋体"/>
                <w:color w:val="auto"/>
                <w:sz w:val="21"/>
                <w:szCs w:val="21"/>
              </w:rPr>
              <w:t>（</w:t>
            </w:r>
            <w:r>
              <w:rPr>
                <w:rFonts w:ascii="宋体" w:hAnsi="宋体" w:eastAsia="宋体"/>
                <w:color w:val="auto"/>
                <w:sz w:val="21"/>
                <w:szCs w:val="21"/>
              </w:rPr>
              <w:t>3</w:t>
            </w:r>
            <w:r>
              <w:rPr>
                <w:rFonts w:hint="eastAsia" w:ascii="宋体" w:hAnsi="宋体" w:eastAsia="宋体"/>
                <w:color w:val="auto"/>
                <w:sz w:val="21"/>
                <w:szCs w:val="21"/>
              </w:rPr>
              <w:t>）整体背景资料收集认识不够全面的得</w:t>
            </w:r>
            <w:r>
              <w:rPr>
                <w:rFonts w:hint="eastAsia" w:ascii="宋体" w:hAnsi="宋体" w:eastAsia="宋体"/>
                <w:color w:val="auto"/>
                <w:sz w:val="21"/>
                <w:szCs w:val="21"/>
                <w:lang w:val="en-US" w:eastAsia="zh-CN"/>
              </w:rPr>
              <w:t>5</w:t>
            </w:r>
            <w:r>
              <w:rPr>
                <w:rFonts w:hint="eastAsia" w:ascii="宋体" w:hAnsi="宋体" w:eastAsia="宋体"/>
                <w:color w:val="auto"/>
                <w:sz w:val="21"/>
                <w:szCs w:val="21"/>
              </w:rPr>
              <w:t>分。</w:t>
            </w:r>
          </w:p>
        </w:tc>
        <w:tc>
          <w:tcPr>
            <w:tcW w:w="402" w:type="pct"/>
            <w:vAlign w:val="center"/>
          </w:tcPr>
          <w:p>
            <w:pPr>
              <w:jc w:val="center"/>
              <w:rPr>
                <w:rFonts w:hint="default" w:ascii="宋体" w:hAnsi="宋体" w:cs="宋体" w:eastAsiaTheme="minorEastAsia"/>
                <w:bCs/>
                <w:szCs w:val="21"/>
                <w:lang w:val="en-US" w:eastAsia="zh-CN"/>
              </w:rPr>
            </w:pPr>
            <w:r>
              <w:rPr>
                <w:rFonts w:hint="eastAsia" w:ascii="宋体" w:hAnsi="宋体" w:eastAsia="宋体" w:cs="宋体"/>
                <w:color w:val="auto"/>
                <w:sz w:val="21"/>
                <w:szCs w:val="21"/>
                <w:lang w:val="en-US" w:eastAsia="zh-CN"/>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12" w:hRule="atLeast"/>
          <w:jc w:val="center"/>
        </w:trPr>
        <w:tc>
          <w:tcPr>
            <w:tcW w:w="333" w:type="pct"/>
            <w:vAlign w:val="center"/>
          </w:tcPr>
          <w:p>
            <w:pPr>
              <w:pStyle w:val="63"/>
              <w:adjustRightInd w:val="0"/>
              <w:snapToGrid w:val="0"/>
              <w:spacing w:line="240" w:lineRule="atLeast"/>
              <w:ind w:firstLine="0" w:firstLineChars="0"/>
              <w:jc w:val="center"/>
              <w:rPr>
                <w:rFonts w:ascii="宋体" w:eastAsia="宋体" w:cs="宋体"/>
                <w:bCs/>
                <w:sz w:val="21"/>
                <w:szCs w:val="21"/>
              </w:rPr>
            </w:pPr>
            <w:r>
              <w:rPr>
                <w:rFonts w:hint="eastAsia" w:ascii="宋体" w:eastAsia="宋体" w:cs="宋体"/>
                <w:bCs/>
                <w:sz w:val="21"/>
                <w:szCs w:val="21"/>
              </w:rPr>
              <w:t>3</w:t>
            </w:r>
          </w:p>
        </w:tc>
        <w:tc>
          <w:tcPr>
            <w:tcW w:w="778" w:type="pct"/>
            <w:vAlign w:val="center"/>
          </w:tcPr>
          <w:p>
            <w:pPr>
              <w:adjustRightInd w:val="0"/>
              <w:snapToGrid w:val="0"/>
              <w:spacing w:line="240" w:lineRule="atLeast"/>
              <w:jc w:val="center"/>
              <w:rPr>
                <w:rFonts w:ascii="宋体" w:hAnsi="宋体" w:cs="宋体"/>
                <w:bCs/>
                <w:szCs w:val="21"/>
              </w:rPr>
            </w:pPr>
            <w:r>
              <w:rPr>
                <w:rFonts w:hint="eastAsia" w:ascii="宋体" w:hAnsi="宋体" w:cs="宋体"/>
                <w:bCs/>
                <w:szCs w:val="21"/>
                <w:lang w:val="en-US" w:eastAsia="zh-CN"/>
              </w:rPr>
              <w:t>对服务项目环境情况的理解与认识</w:t>
            </w:r>
          </w:p>
        </w:tc>
        <w:tc>
          <w:tcPr>
            <w:tcW w:w="3486" w:type="pct"/>
            <w:vAlign w:val="center"/>
          </w:tcPr>
          <w:p>
            <w:pPr>
              <w:keepNext w:val="0"/>
              <w:keepLines w:val="0"/>
              <w:widowControl/>
              <w:suppressLineNumbers w:val="0"/>
              <w:jc w:val="left"/>
              <w:rPr>
                <w:sz w:val="21"/>
                <w:szCs w:val="21"/>
              </w:rPr>
            </w:pPr>
            <w:r>
              <w:rPr>
                <w:rFonts w:hint="eastAsia" w:ascii="宋体" w:hAnsi="宋体" w:eastAsia="宋体" w:cs="宋体"/>
                <w:color w:val="000000"/>
                <w:kern w:val="0"/>
                <w:sz w:val="21"/>
                <w:szCs w:val="21"/>
                <w:lang w:val="en-US" w:eastAsia="zh-CN" w:bidi="ar"/>
              </w:rPr>
              <w:t xml:space="preserve">投标人对服务项目的总体思路和对环境的了解程度，对招标项目总体思路目标明确，对环境的理解准确、认识深刻的为优，得15分； </w:t>
            </w:r>
          </w:p>
          <w:p>
            <w:pPr>
              <w:keepNext w:val="0"/>
              <w:keepLines w:val="0"/>
              <w:widowControl/>
              <w:suppressLineNumbers w:val="0"/>
              <w:jc w:val="left"/>
              <w:rPr>
                <w:sz w:val="21"/>
                <w:szCs w:val="21"/>
              </w:rPr>
            </w:pPr>
            <w:r>
              <w:rPr>
                <w:rFonts w:hint="eastAsia" w:ascii="宋体" w:hAnsi="宋体" w:eastAsia="宋体" w:cs="宋体"/>
                <w:color w:val="000000"/>
                <w:kern w:val="0"/>
                <w:sz w:val="21"/>
                <w:szCs w:val="21"/>
                <w:lang w:val="en-US" w:eastAsia="zh-CN" w:bidi="ar"/>
              </w:rPr>
              <w:t xml:space="preserve">投标人对服务项目的总体思路和对环境的了解程度，对招标项目总体思路目标较明确，对环境的理解较准确、认识深刻的为较好，得10分； </w:t>
            </w:r>
          </w:p>
          <w:p>
            <w:pPr>
              <w:keepNext w:val="0"/>
              <w:keepLines w:val="0"/>
              <w:widowControl/>
              <w:suppressLineNumbers w:val="0"/>
              <w:jc w:val="left"/>
              <w:rPr>
                <w:rFonts w:ascii="宋体" w:hAnsi="宋体" w:cs="宋体"/>
                <w:bCs/>
                <w:szCs w:val="21"/>
              </w:rPr>
            </w:pPr>
            <w:r>
              <w:rPr>
                <w:rFonts w:hint="eastAsia" w:ascii="宋体" w:hAnsi="宋体" w:eastAsia="宋体" w:cs="宋体"/>
                <w:color w:val="000000"/>
                <w:kern w:val="0"/>
                <w:sz w:val="21"/>
                <w:szCs w:val="21"/>
                <w:lang w:val="en-US" w:eastAsia="zh-CN" w:bidi="ar"/>
              </w:rPr>
              <w:t>投标人对服务项目的总体思路和对环境的了解程度，对招标项目总体思路目标基本明确，对环境的理解、认识一般的，得5分</w:t>
            </w:r>
          </w:p>
        </w:tc>
        <w:tc>
          <w:tcPr>
            <w:tcW w:w="402" w:type="pct"/>
            <w:vAlign w:val="center"/>
          </w:tcPr>
          <w:p>
            <w:pPr>
              <w:pStyle w:val="63"/>
              <w:adjustRightInd w:val="0"/>
              <w:snapToGrid w:val="0"/>
              <w:spacing w:line="240" w:lineRule="atLeast"/>
              <w:ind w:firstLine="0" w:firstLineChars="0"/>
              <w:jc w:val="center"/>
              <w:rPr>
                <w:rFonts w:hint="default" w:ascii="宋体" w:eastAsia="宋体" w:cs="宋体"/>
                <w:bCs/>
                <w:sz w:val="21"/>
                <w:szCs w:val="21"/>
                <w:lang w:val="en-US" w:eastAsia="zh-CN"/>
              </w:rPr>
            </w:pPr>
            <w:r>
              <w:rPr>
                <w:rFonts w:hint="eastAsia" w:ascii="宋体" w:eastAsia="宋体" w:cs="宋体"/>
                <w:bCs/>
                <w:sz w:val="21"/>
                <w:szCs w:val="21"/>
                <w:lang w:val="en-US" w:eastAsia="zh-CN"/>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12" w:hRule="atLeast"/>
          <w:jc w:val="center"/>
        </w:trPr>
        <w:tc>
          <w:tcPr>
            <w:tcW w:w="333" w:type="pct"/>
            <w:vAlign w:val="center"/>
          </w:tcPr>
          <w:p>
            <w:pPr>
              <w:pStyle w:val="63"/>
              <w:adjustRightInd w:val="0"/>
              <w:snapToGrid w:val="0"/>
              <w:spacing w:line="240" w:lineRule="atLeast"/>
              <w:ind w:firstLine="0" w:firstLineChars="0"/>
              <w:jc w:val="center"/>
              <w:rPr>
                <w:rFonts w:ascii="宋体" w:eastAsia="宋体" w:cs="宋体"/>
                <w:bCs/>
                <w:sz w:val="21"/>
                <w:szCs w:val="21"/>
              </w:rPr>
            </w:pPr>
            <w:r>
              <w:rPr>
                <w:rFonts w:hint="eastAsia" w:ascii="宋体" w:eastAsia="宋体" w:cs="宋体"/>
                <w:bCs/>
                <w:sz w:val="21"/>
                <w:szCs w:val="21"/>
              </w:rPr>
              <w:t>4</w:t>
            </w:r>
          </w:p>
        </w:tc>
        <w:tc>
          <w:tcPr>
            <w:tcW w:w="778" w:type="pct"/>
            <w:vAlign w:val="center"/>
          </w:tcPr>
          <w:p>
            <w:pPr>
              <w:adjustRightInd w:val="0"/>
              <w:snapToGrid w:val="0"/>
              <w:spacing w:line="240" w:lineRule="atLeast"/>
              <w:jc w:val="center"/>
              <w:rPr>
                <w:rFonts w:hint="eastAsia" w:ascii="宋体" w:hAnsi="宋体" w:cs="宋体"/>
                <w:bCs/>
                <w:sz w:val="21"/>
                <w:szCs w:val="21"/>
                <w:lang w:val="en-US" w:eastAsia="zh-CN"/>
              </w:rPr>
            </w:pPr>
            <w:r>
              <w:rPr>
                <w:rFonts w:hint="eastAsia" w:ascii="宋体" w:hAnsi="宋体" w:cs="宋体"/>
                <w:bCs/>
                <w:sz w:val="21"/>
                <w:szCs w:val="21"/>
                <w:lang w:val="en-US" w:eastAsia="zh-CN"/>
              </w:rPr>
              <w:t>对项目的重点、难点的分析及对策措施</w:t>
            </w:r>
          </w:p>
          <w:p>
            <w:pPr>
              <w:adjustRightInd w:val="0"/>
              <w:snapToGrid w:val="0"/>
              <w:spacing w:line="240" w:lineRule="atLeast"/>
              <w:jc w:val="center"/>
              <w:rPr>
                <w:rFonts w:hint="eastAsia" w:ascii="宋体" w:hAnsi="宋体" w:cs="宋体"/>
                <w:bCs/>
                <w:sz w:val="21"/>
                <w:szCs w:val="21"/>
                <w:lang w:val="en-US" w:eastAsia="zh-CN"/>
              </w:rPr>
            </w:pPr>
          </w:p>
        </w:tc>
        <w:tc>
          <w:tcPr>
            <w:tcW w:w="3486" w:type="pct"/>
            <w:vAlign w:val="center"/>
          </w:tcPr>
          <w:p>
            <w:pPr>
              <w:keepNext w:val="0"/>
              <w:keepLines w:val="0"/>
              <w:widowControl/>
              <w:suppressLineNumbers w:val="0"/>
              <w:jc w:val="left"/>
              <w:rPr>
                <w:sz w:val="21"/>
                <w:szCs w:val="21"/>
              </w:rPr>
            </w:pPr>
            <w:r>
              <w:rPr>
                <w:rFonts w:hint="eastAsia" w:ascii="宋体" w:hAnsi="宋体" w:eastAsia="宋体" w:cs="宋体"/>
                <w:color w:val="000000"/>
                <w:kern w:val="0"/>
                <w:sz w:val="21"/>
                <w:szCs w:val="21"/>
                <w:lang w:val="en-US" w:eastAsia="zh-CN" w:bidi="ar"/>
              </w:rPr>
              <w:t xml:space="preserve">投标人对本项目的重点、难点分析准确合理，关键性技术难题理解分析准确、应对措施合理可行，采用的技术手段先进的为优，得15分； </w:t>
            </w:r>
          </w:p>
          <w:p>
            <w:pPr>
              <w:keepNext w:val="0"/>
              <w:keepLines w:val="0"/>
              <w:widowControl/>
              <w:suppressLineNumbers w:val="0"/>
              <w:jc w:val="left"/>
              <w:rPr>
                <w:sz w:val="21"/>
                <w:szCs w:val="21"/>
              </w:rPr>
            </w:pPr>
            <w:r>
              <w:rPr>
                <w:rFonts w:hint="eastAsia" w:ascii="宋体" w:hAnsi="宋体" w:eastAsia="宋体" w:cs="宋体"/>
                <w:color w:val="000000"/>
                <w:kern w:val="0"/>
                <w:sz w:val="21"/>
                <w:szCs w:val="21"/>
                <w:lang w:val="en-US" w:eastAsia="zh-CN" w:bidi="ar"/>
              </w:rPr>
              <w:t xml:space="preserve">投标人对本项目的重点、难点分析较准确合理，关键性技术难题理解分析较准确、应对措施较合理可行，采用的技术手段较先进的为较好，得10分； </w:t>
            </w:r>
          </w:p>
          <w:p>
            <w:pPr>
              <w:keepNext w:val="0"/>
              <w:keepLines w:val="0"/>
              <w:widowControl/>
              <w:suppressLineNumbers w:val="0"/>
              <w:jc w:val="left"/>
              <w:rPr>
                <w:rFonts w:hint="eastAsia" w:ascii="宋体" w:hAnsi="宋体" w:cs="宋体"/>
                <w:bCs/>
                <w:sz w:val="21"/>
                <w:szCs w:val="21"/>
                <w:lang w:val="en-US" w:eastAsia="zh-CN"/>
              </w:rPr>
            </w:pPr>
            <w:r>
              <w:rPr>
                <w:rFonts w:hint="eastAsia" w:ascii="宋体" w:hAnsi="宋体" w:eastAsia="宋体" w:cs="宋体"/>
                <w:color w:val="000000"/>
                <w:kern w:val="0"/>
                <w:sz w:val="21"/>
                <w:szCs w:val="21"/>
                <w:lang w:val="en-US" w:eastAsia="zh-CN" w:bidi="ar"/>
              </w:rPr>
              <w:t>投标人对本项目的重点、难点分析合理，关键性技术难题理解分析、应对措施、采用的技术手段为一般，得5分。</w:t>
            </w:r>
          </w:p>
        </w:tc>
        <w:tc>
          <w:tcPr>
            <w:tcW w:w="402" w:type="pct"/>
            <w:vAlign w:val="center"/>
          </w:tcPr>
          <w:p>
            <w:pPr>
              <w:pStyle w:val="63"/>
              <w:adjustRightInd w:val="0"/>
              <w:snapToGrid w:val="0"/>
              <w:spacing w:line="240" w:lineRule="atLeast"/>
              <w:ind w:firstLine="0" w:firstLineChars="0"/>
              <w:jc w:val="center"/>
              <w:rPr>
                <w:rFonts w:hint="default" w:ascii="宋体" w:eastAsia="宋体" w:cs="宋体"/>
                <w:bCs/>
                <w:sz w:val="21"/>
                <w:szCs w:val="21"/>
                <w:lang w:val="en-US" w:eastAsia="zh-CN"/>
              </w:rPr>
            </w:pPr>
            <w:r>
              <w:rPr>
                <w:rFonts w:hint="eastAsia" w:ascii="宋体" w:eastAsia="宋体" w:cs="宋体"/>
                <w:bCs/>
                <w:sz w:val="21"/>
                <w:szCs w:val="21"/>
                <w:lang w:val="en-US" w:eastAsia="zh-CN"/>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12" w:hRule="atLeast"/>
          <w:jc w:val="center"/>
        </w:trPr>
        <w:tc>
          <w:tcPr>
            <w:tcW w:w="333" w:type="pct"/>
            <w:vAlign w:val="center"/>
          </w:tcPr>
          <w:p>
            <w:pPr>
              <w:pStyle w:val="63"/>
              <w:adjustRightInd w:val="0"/>
              <w:snapToGrid w:val="0"/>
              <w:spacing w:line="240" w:lineRule="atLeast"/>
              <w:ind w:firstLine="0" w:firstLineChars="0"/>
              <w:jc w:val="center"/>
              <w:rPr>
                <w:rFonts w:hint="eastAsia" w:ascii="宋体" w:eastAsia="宋体" w:cs="宋体"/>
                <w:bCs/>
                <w:sz w:val="21"/>
                <w:szCs w:val="21"/>
                <w:lang w:val="en-US" w:eastAsia="zh-CN"/>
              </w:rPr>
            </w:pPr>
            <w:r>
              <w:rPr>
                <w:rFonts w:hint="eastAsia" w:ascii="宋体" w:eastAsia="宋体" w:cs="宋体"/>
                <w:bCs/>
                <w:sz w:val="21"/>
                <w:szCs w:val="21"/>
                <w:lang w:val="en-US" w:eastAsia="zh-CN"/>
              </w:rPr>
              <w:t>5</w:t>
            </w:r>
          </w:p>
        </w:tc>
        <w:tc>
          <w:tcPr>
            <w:tcW w:w="778" w:type="pct"/>
            <w:vAlign w:val="center"/>
          </w:tcPr>
          <w:p>
            <w:pPr>
              <w:adjustRightInd w:val="0"/>
              <w:snapToGrid w:val="0"/>
              <w:spacing w:line="240" w:lineRule="atLeast"/>
              <w:jc w:val="center"/>
              <w:rPr>
                <w:rFonts w:hint="eastAsia" w:ascii="宋体" w:hAnsi="宋体" w:cs="宋体"/>
                <w:bCs/>
                <w:sz w:val="21"/>
                <w:szCs w:val="21"/>
                <w:lang w:val="en-US" w:eastAsia="zh-CN"/>
              </w:rPr>
            </w:pPr>
            <w:r>
              <w:rPr>
                <w:rFonts w:hint="eastAsia" w:ascii="宋体" w:hAnsi="宋体" w:cs="宋体"/>
                <w:bCs/>
                <w:sz w:val="21"/>
                <w:szCs w:val="21"/>
                <w:lang w:val="en-US" w:eastAsia="zh-CN"/>
              </w:rPr>
              <w:t>人员的安排、工作计划安排</w:t>
            </w:r>
          </w:p>
          <w:p>
            <w:pPr>
              <w:adjustRightInd w:val="0"/>
              <w:snapToGrid w:val="0"/>
              <w:spacing w:line="240" w:lineRule="atLeast"/>
              <w:jc w:val="center"/>
              <w:rPr>
                <w:rFonts w:hint="eastAsia" w:ascii="宋体" w:hAnsi="宋体" w:cs="宋体"/>
                <w:bCs/>
                <w:sz w:val="21"/>
                <w:szCs w:val="21"/>
                <w:lang w:val="en-US" w:eastAsia="zh-CN"/>
              </w:rPr>
            </w:pPr>
          </w:p>
        </w:tc>
        <w:tc>
          <w:tcPr>
            <w:tcW w:w="3486" w:type="pct"/>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4"/>
                <w:szCs w:val="24"/>
                <w:lang w:val="en-US" w:eastAsia="zh-CN" w:bidi="ar"/>
              </w:rPr>
              <w:t>投</w:t>
            </w:r>
            <w:r>
              <w:rPr>
                <w:rFonts w:hint="eastAsia" w:ascii="宋体" w:hAnsi="宋体" w:eastAsia="宋体" w:cs="宋体"/>
                <w:color w:val="000000"/>
                <w:kern w:val="0"/>
                <w:sz w:val="21"/>
                <w:szCs w:val="21"/>
                <w:lang w:val="en-US" w:eastAsia="zh-CN" w:bidi="ar"/>
              </w:rPr>
              <w:t xml:space="preserve">标人对人员安排、工作计划安排做到人员合理、进度计划满足项目进度要求的为优，得5分；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投标人对人员安排、工作计划安排做到人员较合理、进度计划满足项目进度要求的为较好，得3分；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投标人对人员安排、工作计划安排做到人员、进度计划一般，得1分。 </w:t>
            </w:r>
          </w:p>
        </w:tc>
        <w:tc>
          <w:tcPr>
            <w:tcW w:w="402" w:type="pct"/>
            <w:vAlign w:val="center"/>
          </w:tcPr>
          <w:p>
            <w:pPr>
              <w:pStyle w:val="63"/>
              <w:adjustRightInd w:val="0"/>
              <w:snapToGrid w:val="0"/>
              <w:spacing w:line="240" w:lineRule="atLeast"/>
              <w:ind w:firstLine="0" w:firstLineChars="0"/>
              <w:jc w:val="center"/>
              <w:rPr>
                <w:rFonts w:hint="default" w:ascii="宋体" w:eastAsia="宋体" w:cs="宋体"/>
                <w:bCs/>
                <w:sz w:val="21"/>
                <w:szCs w:val="21"/>
                <w:lang w:val="en-US" w:eastAsia="zh-CN"/>
              </w:rPr>
            </w:pPr>
            <w:r>
              <w:rPr>
                <w:rFonts w:hint="eastAsia" w:ascii="宋体" w:eastAsia="宋体" w:cs="宋体"/>
                <w:bCs/>
                <w:sz w:val="21"/>
                <w:szCs w:val="21"/>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21" w:hRule="atLeast"/>
          <w:jc w:val="center"/>
        </w:trPr>
        <w:tc>
          <w:tcPr>
            <w:tcW w:w="4597" w:type="pct"/>
            <w:gridSpan w:val="3"/>
            <w:vAlign w:val="center"/>
          </w:tcPr>
          <w:p>
            <w:pPr>
              <w:adjustRightInd w:val="0"/>
              <w:snapToGrid w:val="0"/>
              <w:spacing w:line="240" w:lineRule="atLeast"/>
              <w:jc w:val="center"/>
              <w:rPr>
                <w:rFonts w:ascii="宋体" w:hAnsi="宋体" w:cs="宋体"/>
                <w:bCs/>
                <w:szCs w:val="21"/>
              </w:rPr>
            </w:pPr>
            <w:r>
              <w:rPr>
                <w:rFonts w:hint="eastAsia" w:ascii="宋体" w:hAnsi="宋体" w:cs="宋体"/>
                <w:bCs/>
                <w:szCs w:val="21"/>
              </w:rPr>
              <w:t>合计</w:t>
            </w:r>
          </w:p>
        </w:tc>
        <w:tc>
          <w:tcPr>
            <w:tcW w:w="402" w:type="pct"/>
            <w:vAlign w:val="center"/>
          </w:tcPr>
          <w:p>
            <w:pPr>
              <w:adjustRightInd w:val="0"/>
              <w:snapToGrid w:val="0"/>
              <w:spacing w:line="240" w:lineRule="atLeast"/>
              <w:jc w:val="center"/>
              <w:rPr>
                <w:rFonts w:ascii="宋体" w:hAnsi="宋体" w:cs="宋体"/>
                <w:bCs/>
                <w:szCs w:val="21"/>
              </w:rPr>
            </w:pPr>
            <w:r>
              <w:rPr>
                <w:rFonts w:hint="eastAsia" w:ascii="宋体" w:hAnsi="宋体" w:cs="宋体"/>
                <w:bCs/>
                <w:szCs w:val="21"/>
                <w:lang w:val="en-US" w:eastAsia="zh-CN"/>
              </w:rPr>
              <w:t>50</w:t>
            </w:r>
            <w:r>
              <w:rPr>
                <w:rFonts w:hint="eastAsia" w:ascii="宋体" w:hAnsi="宋体" w:cs="宋体"/>
                <w:bCs/>
                <w:szCs w:val="21"/>
              </w:rPr>
              <w:t>分</w:t>
            </w:r>
          </w:p>
        </w:tc>
      </w:tr>
      <w:bookmarkEnd w:id="38"/>
    </w:tbl>
    <w:p>
      <w:pPr>
        <w:spacing w:line="276" w:lineRule="auto"/>
        <w:rPr>
          <w:rFonts w:ascii="宋体" w:hAnsi="宋体"/>
          <w:szCs w:val="21"/>
        </w:rPr>
      </w:pPr>
      <w:r>
        <w:rPr>
          <w:rFonts w:hint="eastAsia" w:ascii="宋体" w:hAnsi="宋体"/>
          <w:szCs w:val="21"/>
        </w:rPr>
        <w:t>注：1、评委按分项的规定分数范围内给各投标人进行打分，并统计总分。</w:t>
      </w:r>
    </w:p>
    <w:p>
      <w:pPr>
        <w:spacing w:line="360" w:lineRule="auto"/>
        <w:rPr>
          <w:rFonts w:ascii="宋体" w:hAnsi="宋体"/>
          <w:szCs w:val="21"/>
        </w:rPr>
      </w:pPr>
      <w:r>
        <w:rPr>
          <w:rFonts w:ascii="宋体" w:hAnsi="宋体"/>
          <w:szCs w:val="21"/>
        </w:rPr>
        <w:br w:type="page"/>
      </w:r>
      <w:bookmarkStart w:id="39" w:name="_Toc44420136"/>
      <w:bookmarkStart w:id="40" w:name="_Toc510444854"/>
      <w:bookmarkStart w:id="41" w:name="_Toc500873725"/>
      <w:bookmarkStart w:id="42" w:name="_Toc45192895"/>
    </w:p>
    <w:p>
      <w:pPr>
        <w:pStyle w:val="3"/>
        <w:spacing w:before="200" w:after="200" w:line="360" w:lineRule="auto"/>
        <w:rPr>
          <w:rFonts w:hAnsi="宋体"/>
          <w:b w:val="0"/>
          <w:szCs w:val="21"/>
        </w:rPr>
      </w:pPr>
      <w:r>
        <w:rPr>
          <w:rFonts w:hint="eastAsia" w:hAnsi="宋体"/>
          <w:sz w:val="21"/>
          <w:szCs w:val="21"/>
        </w:rPr>
        <w:t>附表</w:t>
      </w:r>
      <w:r>
        <w:rPr>
          <w:rFonts w:hint="eastAsia" w:hAnsi="宋体"/>
          <w:sz w:val="21"/>
          <w:szCs w:val="21"/>
          <w:lang w:eastAsia="zh-CN"/>
        </w:rPr>
        <w:t>二</w:t>
      </w:r>
      <w:r>
        <w:rPr>
          <w:rFonts w:hint="eastAsia" w:hAnsi="宋体"/>
          <w:sz w:val="21"/>
          <w:szCs w:val="21"/>
        </w:rPr>
        <w:t>：《商务评分表》</w:t>
      </w:r>
      <w:bookmarkEnd w:id="39"/>
      <w:bookmarkEnd w:id="40"/>
      <w:bookmarkEnd w:id="41"/>
      <w:bookmarkEnd w:id="42"/>
    </w:p>
    <w:p>
      <w:pPr>
        <w:spacing w:line="360" w:lineRule="auto"/>
        <w:jc w:val="center"/>
        <w:rPr>
          <w:rFonts w:ascii="宋体" w:hAnsi="宋体"/>
          <w:b/>
          <w:sz w:val="24"/>
        </w:rPr>
      </w:pPr>
      <w:r>
        <w:rPr>
          <w:rFonts w:hint="eastAsia" w:ascii="宋体" w:hAnsi="宋体"/>
          <w:b/>
          <w:sz w:val="24"/>
        </w:rPr>
        <w:t>商务评分表</w:t>
      </w:r>
    </w:p>
    <w:p>
      <w:pPr>
        <w:spacing w:line="276" w:lineRule="auto"/>
        <w:ind w:firstLine="210" w:firstLineChars="100"/>
        <w:rPr>
          <w:rFonts w:ascii="宋体" w:hAnsi="宋体"/>
          <w:szCs w:val="21"/>
        </w:rPr>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325"/>
        <w:gridCol w:w="6615"/>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b/>
                <w:szCs w:val="21"/>
              </w:rPr>
            </w:pPr>
            <w:r>
              <w:rPr>
                <w:rFonts w:hint="eastAsia" w:ascii="宋体" w:hAnsi="宋体"/>
                <w:b/>
                <w:szCs w:val="21"/>
              </w:rPr>
              <w:t>序号</w:t>
            </w:r>
          </w:p>
        </w:tc>
        <w:tc>
          <w:tcPr>
            <w:tcW w:w="68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b/>
                <w:szCs w:val="21"/>
              </w:rPr>
            </w:pPr>
            <w:r>
              <w:rPr>
                <w:rFonts w:hint="eastAsia" w:ascii="宋体" w:hAnsi="宋体"/>
                <w:b/>
                <w:szCs w:val="21"/>
              </w:rPr>
              <w:t>评审项目</w:t>
            </w:r>
          </w:p>
        </w:tc>
        <w:tc>
          <w:tcPr>
            <w:tcW w:w="343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b/>
                <w:szCs w:val="21"/>
              </w:rPr>
            </w:pPr>
            <w:r>
              <w:rPr>
                <w:rFonts w:hint="eastAsia" w:ascii="宋体" w:hAnsi="宋体"/>
                <w:b/>
                <w:szCs w:val="21"/>
              </w:rPr>
              <w:t>评审细则</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b/>
                <w:szCs w:val="21"/>
              </w:rPr>
            </w:pPr>
            <w:r>
              <w:rPr>
                <w:rFonts w:hint="eastAsia" w:ascii="宋体" w:hAnsi="宋体"/>
                <w:b/>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Cs w:val="21"/>
              </w:rPr>
            </w:pPr>
            <w:r>
              <w:rPr>
                <w:rFonts w:hint="eastAsia" w:ascii="宋体" w:hAnsi="宋体"/>
                <w:szCs w:val="21"/>
              </w:rPr>
              <w:t>1</w:t>
            </w:r>
          </w:p>
        </w:tc>
        <w:tc>
          <w:tcPr>
            <w:tcW w:w="68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Cs w:val="21"/>
                <w:lang w:val="zh-CN"/>
              </w:rPr>
            </w:pPr>
            <w:r>
              <w:rPr>
                <w:rFonts w:hint="eastAsia" w:ascii="宋体" w:hAnsi="宋体"/>
                <w:szCs w:val="21"/>
                <w:lang w:val="zh-CN"/>
              </w:rPr>
              <w:t>类似项目业绩</w:t>
            </w:r>
          </w:p>
        </w:tc>
        <w:tc>
          <w:tcPr>
            <w:tcW w:w="6615"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color w:val="000000"/>
                <w:szCs w:val="21"/>
                <w:highlight w:val="none"/>
              </w:rPr>
            </w:pPr>
            <w:r>
              <w:rPr>
                <w:rFonts w:hint="eastAsia" w:ascii="宋体" w:hAnsi="宋体"/>
                <w:szCs w:val="21"/>
                <w:highlight w:val="none"/>
                <w:lang w:val="zh-CN"/>
              </w:rPr>
              <w:t xml:space="preserve">投标人提供2018年至今（以合同签订时间为准），投标人需提供有关生物多样性考察、生态环境监测和评价等类型的项目业绩，每项得2分，最高得6分。 </w:t>
            </w:r>
            <w:r>
              <w:rPr>
                <w:rFonts w:hint="eastAsia" w:ascii="宋体" w:hAnsi="宋体"/>
                <w:szCs w:val="21"/>
                <w:highlight w:val="none"/>
                <w:lang w:val="zh-CN"/>
              </w:rPr>
              <w:br w:type="textWrapping"/>
            </w:r>
            <w:r>
              <w:rPr>
                <w:rFonts w:hint="eastAsia" w:ascii="宋体" w:hAnsi="宋体"/>
                <w:b/>
                <w:bCs/>
                <w:szCs w:val="21"/>
                <w:highlight w:val="none"/>
                <w:lang w:val="zh-CN"/>
              </w:rPr>
              <w:t>注：需提供合同复印件及专家评审或验收意见报告，否则不得分。</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Theme="minorEastAsia"/>
                <w:szCs w:val="21"/>
                <w:highlight w:val="none"/>
                <w:lang w:val="en-US" w:eastAsia="zh-CN"/>
              </w:rPr>
            </w:pPr>
            <w:r>
              <w:rPr>
                <w:rFonts w:ascii="宋体" w:hAnsi="宋体"/>
                <w:szCs w:val="21"/>
                <w:highlight w:val="none"/>
              </w:rPr>
              <w:t>6</w:t>
            </w:r>
            <w:r>
              <w:rPr>
                <w:rFonts w:hint="eastAsia" w:ascii="宋体" w:hAnsi="宋体"/>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宋体" w:hAnsi="宋体"/>
                <w:szCs w:val="21"/>
                <w:lang w:val="en-US" w:eastAsia="zh-CN"/>
              </w:rPr>
            </w:pPr>
            <w:r>
              <w:rPr>
                <w:rFonts w:hint="eastAsia" w:ascii="宋体" w:hAnsi="宋体"/>
                <w:szCs w:val="21"/>
                <w:lang w:val="en-US" w:eastAsia="zh-CN"/>
              </w:rPr>
              <w:t>2</w:t>
            </w:r>
          </w:p>
        </w:tc>
        <w:tc>
          <w:tcPr>
            <w:tcW w:w="13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color w:val="000000"/>
                <w:szCs w:val="21"/>
                <w:lang w:eastAsia="zh-CN"/>
              </w:rPr>
            </w:pPr>
            <w:r>
              <w:rPr>
                <w:rFonts w:hint="eastAsia" w:ascii="宋体" w:hAnsi="宋体"/>
                <w:szCs w:val="21"/>
                <w:lang w:val="zh-CN"/>
              </w:rPr>
              <w:t>专项负责人认证</w:t>
            </w:r>
          </w:p>
        </w:tc>
        <w:tc>
          <w:tcPr>
            <w:tcW w:w="6615"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szCs w:val="21"/>
                <w:highlight w:val="none"/>
                <w:lang w:val="zh-CN"/>
              </w:rPr>
            </w:pPr>
            <w:r>
              <w:rPr>
                <w:rFonts w:hint="eastAsia" w:ascii="宋体" w:hAnsi="宋体"/>
                <w:szCs w:val="21"/>
                <w:highlight w:val="none"/>
                <w:lang w:val="zh-CN"/>
              </w:rPr>
              <w:t>投标人有五个专题（包括地质、植物与植被、动物、土壤与微生物、生态效应评价）均需有副高职称人作为专题负责人，得1</w:t>
            </w:r>
            <w:r>
              <w:rPr>
                <w:rFonts w:ascii="宋体" w:hAnsi="宋体"/>
                <w:szCs w:val="21"/>
                <w:highlight w:val="none"/>
                <w:lang w:val="zh-CN"/>
              </w:rPr>
              <w:t>0</w:t>
            </w:r>
            <w:r>
              <w:rPr>
                <w:rFonts w:hint="eastAsia" w:ascii="宋体" w:hAnsi="宋体"/>
                <w:szCs w:val="21"/>
                <w:highlight w:val="none"/>
                <w:lang w:val="zh-CN"/>
              </w:rPr>
              <w:t>分，每缺1个专题扣2分。</w:t>
            </w:r>
          </w:p>
          <w:p>
            <w:pPr>
              <w:adjustRightInd w:val="0"/>
              <w:snapToGrid w:val="0"/>
              <w:rPr>
                <w:rFonts w:hint="eastAsia" w:ascii="宋体" w:hAnsi="宋体" w:eastAsia="宋体" w:cs="宋体"/>
                <w:color w:val="000000"/>
                <w:kern w:val="0"/>
                <w:sz w:val="21"/>
                <w:szCs w:val="21"/>
                <w:highlight w:val="none"/>
                <w:lang w:val="en-US" w:eastAsia="zh-CN" w:bidi="ar"/>
              </w:rPr>
            </w:pPr>
            <w:r>
              <w:rPr>
                <w:rFonts w:hint="eastAsia" w:ascii="宋体" w:hAnsi="宋体"/>
                <w:b/>
                <w:bCs/>
                <w:szCs w:val="21"/>
                <w:highlight w:val="none"/>
                <w:lang w:val="zh-CN"/>
              </w:rPr>
              <w:t>注：需提供各专题负责人的职称、专业等证明。</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szCs w:val="21"/>
                <w:highlight w:val="none"/>
                <w:lang w:val="en-US" w:eastAsia="zh-CN"/>
              </w:rPr>
            </w:pPr>
            <w:r>
              <w:rPr>
                <w:rFonts w:ascii="宋体" w:hAnsi="宋体"/>
                <w:szCs w:val="21"/>
                <w:highlight w:val="none"/>
              </w:rPr>
              <w:t>10</w:t>
            </w:r>
            <w:r>
              <w:rPr>
                <w:rFonts w:hint="eastAsia" w:ascii="宋体" w:hAnsi="宋体"/>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Theme="minorEastAsia"/>
                <w:szCs w:val="21"/>
                <w:lang w:val="en-US" w:eastAsia="zh-CN"/>
              </w:rPr>
            </w:pPr>
            <w:r>
              <w:rPr>
                <w:rFonts w:hint="eastAsia" w:ascii="宋体" w:hAnsi="宋体"/>
                <w:szCs w:val="21"/>
                <w:lang w:val="en-US" w:eastAsia="zh-CN"/>
              </w:rPr>
              <w:t>2</w:t>
            </w:r>
          </w:p>
        </w:tc>
        <w:tc>
          <w:tcPr>
            <w:tcW w:w="68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color w:val="000000"/>
                <w:szCs w:val="21"/>
                <w:lang w:eastAsia="zh-CN"/>
              </w:rPr>
            </w:pPr>
            <w:r>
              <w:rPr>
                <w:rFonts w:hint="eastAsia" w:ascii="宋体" w:hAnsi="宋体"/>
                <w:color w:val="000000"/>
                <w:szCs w:val="21"/>
                <w:lang w:eastAsia="zh-CN"/>
              </w:rPr>
              <w:t>投标人综合实力</w:t>
            </w:r>
          </w:p>
        </w:tc>
        <w:tc>
          <w:tcPr>
            <w:tcW w:w="6615"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olor w:val="000000"/>
                <w:szCs w:val="21"/>
                <w:highlight w:val="none"/>
                <w:lang w:eastAsia="zh-CN"/>
              </w:rPr>
            </w:pPr>
            <w:r>
              <w:rPr>
                <w:rFonts w:hint="eastAsia" w:ascii="宋体" w:hAnsi="宋体" w:eastAsia="宋体" w:cs="宋体"/>
                <w:color w:val="000000"/>
                <w:kern w:val="0"/>
                <w:szCs w:val="21"/>
                <w:highlight w:val="none"/>
                <w:lang w:bidi="ar"/>
              </w:rPr>
              <w:t>投标人为科研机构或高校</w:t>
            </w:r>
            <w:r>
              <w:rPr>
                <w:rFonts w:hint="eastAsia" w:ascii="宋体" w:hAnsi="宋体" w:eastAsia="宋体" w:cs="宋体"/>
                <w:color w:val="000000"/>
                <w:kern w:val="0"/>
                <w:szCs w:val="21"/>
                <w:highlight w:val="none"/>
                <w:lang w:eastAsia="zh-CN" w:bidi="ar"/>
              </w:rPr>
              <w:t>的</w:t>
            </w:r>
            <w:r>
              <w:rPr>
                <w:rFonts w:hint="eastAsia" w:ascii="宋体" w:hAnsi="宋体" w:eastAsia="宋体" w:cs="宋体"/>
                <w:color w:val="000000"/>
                <w:kern w:val="0"/>
                <w:szCs w:val="21"/>
                <w:highlight w:val="none"/>
                <w:lang w:bidi="ar"/>
              </w:rPr>
              <w:t>国家级</w:t>
            </w:r>
            <w:r>
              <w:rPr>
                <w:rFonts w:hint="eastAsia" w:ascii="宋体" w:hAnsi="宋体" w:eastAsia="宋体" w:cs="宋体"/>
                <w:color w:val="000000"/>
                <w:kern w:val="0"/>
                <w:szCs w:val="21"/>
                <w:highlight w:val="none"/>
                <w:lang w:eastAsia="zh-CN" w:bidi="ar"/>
              </w:rPr>
              <w:t>得</w:t>
            </w:r>
            <w:r>
              <w:rPr>
                <w:rFonts w:hint="eastAsia" w:ascii="宋体" w:hAnsi="宋体" w:eastAsia="宋体" w:cs="宋体"/>
                <w:color w:val="000000"/>
                <w:kern w:val="0"/>
                <w:szCs w:val="21"/>
                <w:highlight w:val="none"/>
                <w:lang w:bidi="ar"/>
              </w:rPr>
              <w:t>6分、省级</w:t>
            </w:r>
            <w:r>
              <w:rPr>
                <w:rFonts w:hint="eastAsia" w:ascii="宋体" w:hAnsi="宋体" w:eastAsia="宋体" w:cs="宋体"/>
                <w:color w:val="000000"/>
                <w:kern w:val="0"/>
                <w:szCs w:val="21"/>
                <w:highlight w:val="none"/>
                <w:lang w:eastAsia="zh-CN" w:bidi="ar"/>
              </w:rPr>
              <w:t>得</w:t>
            </w:r>
            <w:r>
              <w:rPr>
                <w:rFonts w:hint="eastAsia" w:ascii="宋体" w:hAnsi="宋体" w:eastAsia="宋体" w:cs="宋体"/>
                <w:color w:val="000000"/>
                <w:kern w:val="0"/>
                <w:szCs w:val="21"/>
                <w:highlight w:val="none"/>
                <w:lang w:bidi="ar"/>
              </w:rPr>
              <w:t>4分、地方级</w:t>
            </w:r>
            <w:r>
              <w:rPr>
                <w:rFonts w:hint="eastAsia" w:ascii="宋体" w:hAnsi="宋体" w:eastAsia="宋体" w:cs="宋体"/>
                <w:color w:val="000000"/>
                <w:kern w:val="0"/>
                <w:szCs w:val="21"/>
                <w:highlight w:val="none"/>
                <w:lang w:eastAsia="zh-CN" w:bidi="ar"/>
              </w:rPr>
              <w:t>得</w:t>
            </w:r>
            <w:r>
              <w:rPr>
                <w:rFonts w:hint="eastAsia" w:ascii="宋体" w:hAnsi="宋体" w:eastAsia="宋体" w:cs="宋体"/>
                <w:color w:val="000000"/>
                <w:kern w:val="0"/>
                <w:szCs w:val="21"/>
                <w:highlight w:val="none"/>
                <w:lang w:bidi="ar"/>
              </w:rPr>
              <w:t>2分；或投标人为企业的，取得级有效的ISO质量管理体系认证，环境管理体系认证、职业健康安全管理体系认证等得6分，每少1个认证扣2分。</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宋体" w:hAnsi="宋体"/>
                <w:szCs w:val="21"/>
                <w:highlight w:val="none"/>
                <w:lang w:val="en-US" w:eastAsia="zh-CN"/>
              </w:rPr>
            </w:pPr>
            <w:r>
              <w:rPr>
                <w:rFonts w:hint="eastAsia" w:ascii="宋体" w:hAnsi="宋体"/>
                <w:szCs w:val="21"/>
                <w:highlight w:val="none"/>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Theme="minorEastAsia"/>
                <w:szCs w:val="21"/>
                <w:lang w:eastAsia="zh-CN"/>
              </w:rPr>
            </w:pPr>
            <w:r>
              <w:rPr>
                <w:rFonts w:hint="eastAsia" w:ascii="宋体" w:hAnsi="宋体"/>
                <w:szCs w:val="21"/>
                <w:lang w:val="en-US" w:eastAsia="zh-CN"/>
              </w:rPr>
              <w:t>3</w:t>
            </w:r>
          </w:p>
        </w:tc>
        <w:tc>
          <w:tcPr>
            <w:tcW w:w="68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Theme="minorEastAsia"/>
                <w:color w:val="000000"/>
                <w:szCs w:val="21"/>
                <w:lang w:eastAsia="zh-CN"/>
              </w:rPr>
            </w:pPr>
            <w:r>
              <w:rPr>
                <w:rFonts w:hint="eastAsia" w:ascii="宋体" w:hAnsi="宋体"/>
                <w:color w:val="000000"/>
                <w:szCs w:val="21"/>
                <w:lang w:eastAsia="zh-CN"/>
              </w:rPr>
              <w:t>售后服务方案</w:t>
            </w:r>
          </w:p>
        </w:tc>
        <w:tc>
          <w:tcPr>
            <w:tcW w:w="6615"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szCs w:val="21"/>
                <w:lang w:val="zh-CN"/>
              </w:rPr>
            </w:pPr>
            <w:r>
              <w:rPr>
                <w:rFonts w:hint="eastAsia" w:ascii="宋体" w:hAnsi="宋体"/>
                <w:color w:val="000000"/>
                <w:szCs w:val="21"/>
              </w:rPr>
              <w:t xml:space="preserve">根据各投标人对本项目提供的售后服务技术及承诺（包括但不限于售后服务点、服务计划、零配件供应能力、及服务承诺等）等进行评审： 具有完善具体的售后服务内容，总体服务方案科学合理、亮点多、针对性强、可行性高，得8分； </w:t>
            </w:r>
            <w:r>
              <w:rPr>
                <w:rFonts w:hint="eastAsia" w:ascii="宋体" w:hAnsi="宋体"/>
                <w:color w:val="000000"/>
                <w:szCs w:val="21"/>
              </w:rPr>
              <w:br w:type="textWrapping"/>
            </w:r>
            <w:r>
              <w:rPr>
                <w:rFonts w:hint="eastAsia" w:ascii="宋体" w:hAnsi="宋体"/>
                <w:color w:val="000000"/>
                <w:szCs w:val="21"/>
              </w:rPr>
              <w:t xml:space="preserve">具有较完善具体的售后服务内容，总体服务方案较合理、亮点较多、针对性较强、可行性较高，5分； </w:t>
            </w:r>
            <w:r>
              <w:rPr>
                <w:rFonts w:hint="eastAsia" w:ascii="宋体" w:hAnsi="宋体"/>
                <w:color w:val="000000"/>
                <w:szCs w:val="21"/>
              </w:rPr>
              <w:br w:type="textWrapping"/>
            </w:r>
            <w:r>
              <w:rPr>
                <w:rFonts w:hint="eastAsia" w:ascii="宋体" w:hAnsi="宋体"/>
                <w:color w:val="000000"/>
                <w:szCs w:val="21"/>
              </w:rPr>
              <w:t>售后服务内容不够完善，总体服务方案不够合理，针对性不强、可行性不高，得3分；</w:t>
            </w:r>
            <w:r>
              <w:rPr>
                <w:rFonts w:hint="eastAsia" w:ascii="宋体" w:hAnsi="宋体"/>
                <w:color w:val="000000"/>
                <w:szCs w:val="21"/>
              </w:rPr>
              <w:br w:type="textWrapping"/>
            </w:r>
            <w:r>
              <w:rPr>
                <w:rFonts w:hint="eastAsia" w:ascii="宋体" w:hAnsi="宋体"/>
                <w:color w:val="000000"/>
                <w:szCs w:val="21"/>
              </w:rPr>
              <w:t>不提供售后服务方案不得分。</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Theme="minorEastAsia"/>
                <w:szCs w:val="21"/>
                <w:lang w:val="en-US" w:eastAsia="zh-CN"/>
              </w:rPr>
            </w:pPr>
            <w:r>
              <w:rPr>
                <w:rFonts w:ascii="宋体" w:hAnsi="宋体"/>
                <w:szCs w:val="21"/>
              </w:rPr>
              <w:t>8</w:t>
            </w:r>
            <w:r>
              <w:rPr>
                <w:rFonts w:hint="eastAsia" w:ascii="宋体" w:hAnsi="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4484"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Cs w:val="21"/>
              </w:rPr>
            </w:pPr>
            <w:r>
              <w:rPr>
                <w:rFonts w:hint="eastAsia" w:ascii="宋体" w:hAnsi="宋体"/>
                <w:szCs w:val="21"/>
              </w:rPr>
              <w:t>合计</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Cs w:val="21"/>
              </w:rPr>
            </w:pPr>
            <w:r>
              <w:rPr>
                <w:rFonts w:hint="eastAsia" w:ascii="宋体" w:hAnsi="宋体"/>
                <w:szCs w:val="21"/>
                <w:lang w:val="en-US" w:eastAsia="zh-CN"/>
              </w:rPr>
              <w:t>30</w:t>
            </w:r>
            <w:r>
              <w:rPr>
                <w:rFonts w:hint="eastAsia" w:ascii="宋体" w:hAnsi="宋体"/>
                <w:szCs w:val="21"/>
              </w:rPr>
              <w:t>分</w:t>
            </w:r>
          </w:p>
        </w:tc>
      </w:tr>
    </w:tbl>
    <w:p>
      <w:pPr>
        <w:spacing w:line="276" w:lineRule="auto"/>
        <w:ind w:firstLine="210" w:firstLineChars="100"/>
        <w:rPr>
          <w:rFonts w:ascii="宋体" w:hAnsi="宋体"/>
          <w:szCs w:val="21"/>
        </w:rPr>
      </w:pPr>
    </w:p>
    <w:p>
      <w:pPr>
        <w:spacing w:line="276" w:lineRule="auto"/>
        <w:ind w:firstLine="210" w:firstLineChars="100"/>
        <w:rPr>
          <w:rFonts w:ascii="宋体" w:hAnsi="宋体"/>
          <w:szCs w:val="21"/>
        </w:rPr>
      </w:pPr>
      <w:r>
        <w:rPr>
          <w:rFonts w:hint="eastAsia" w:ascii="宋体" w:hAnsi="宋体"/>
          <w:szCs w:val="21"/>
        </w:rPr>
        <w:t>注：1、评委按分项的规定分数范围内给各投标人进行打分，并统计总分。</w:t>
      </w:r>
    </w:p>
    <w:p>
      <w:pPr>
        <w:pStyle w:val="7"/>
        <w:rPr>
          <w:rFonts w:hint="eastAsia"/>
          <w:lang w:eastAsia="zh-CN"/>
        </w:rPr>
      </w:pPr>
    </w:p>
    <w:sectPr>
      <w:footerReference r:id="rId6" w:type="first"/>
      <w:footerReference r:id="rId5" w:type="default"/>
      <w:pgSz w:w="11906" w:h="16838"/>
      <w:pgMar w:top="1474" w:right="1134" w:bottom="1134" w:left="1361" w:header="851" w:footer="851"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73521950"/>
    </w:sdtPr>
    <w:sdtContent>
      <w:p>
        <w:pPr>
          <w:pStyle w:val="10"/>
          <w:jc w:val="center"/>
        </w:pPr>
        <w:r>
          <w:fldChar w:fldCharType="begin"/>
        </w:r>
        <w:r>
          <w:instrText xml:space="preserve">PAGE   \* MERGEFORMAT</w:instrText>
        </w:r>
        <w:r>
          <w:fldChar w:fldCharType="separate"/>
        </w:r>
        <w:r>
          <w:rPr>
            <w:lang w:val="zh-CN"/>
          </w:rPr>
          <w:t>6</w:t>
        </w:r>
        <w:r>
          <w:rPr>
            <w:lang w:val="zh-CN"/>
          </w:rPr>
          <w:fldChar w:fldCharType="end"/>
        </w:r>
      </w:p>
    </w:sdtContent>
  </w:sdt>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right" w:y="1"/>
      <w:rPr>
        <w:rStyle w:val="15"/>
      </w:rPr>
    </w:pPr>
    <w:r>
      <w:rPr>
        <w:rStyle w:val="15"/>
      </w:rPr>
      <w:fldChar w:fldCharType="begin"/>
    </w:r>
    <w:r>
      <w:rPr>
        <w:rStyle w:val="15"/>
      </w:rPr>
      <w:instrText xml:space="preserve">PAGE  </w:instrText>
    </w:r>
    <w:r>
      <w:rPr>
        <w:rStyle w:val="15"/>
      </w:rPr>
      <w:fldChar w:fldCharType="end"/>
    </w:r>
  </w:p>
  <w:p>
    <w:pPr>
      <w:pStyle w:val="1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19</w:t>
    </w:r>
    <w:r>
      <w:rPr>
        <w:rFonts w:ascii="宋体" w:hAnsi="宋体"/>
        <w:sz w:val="21"/>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2</w:t>
    </w:r>
    <w:r>
      <w:rPr>
        <w:rFonts w:ascii="宋体" w:hAnsi="宋体"/>
        <w:sz w:val="21"/>
        <w:szCs w:val="21"/>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6F60E4"/>
    <w:multiLevelType w:val="multilevel"/>
    <w:tmpl w:val="6E6F60E4"/>
    <w:lvl w:ilvl="0" w:tentative="0">
      <w:start w:val="1"/>
      <w:numFmt w:val="chineseCountingThousand"/>
      <w:lvlText w:val="%1、"/>
      <w:lvlJc w:val="left"/>
      <w:pPr>
        <w:ind w:left="425" w:hanging="425"/>
      </w:pPr>
      <w:rPr>
        <w:rFonts w:hint="eastAsia" w:cs="Times New Roman"/>
        <w:sz w:val="24"/>
        <w:szCs w:val="24"/>
      </w:rPr>
    </w:lvl>
    <w:lvl w:ilvl="1" w:tentative="0">
      <w:start w:val="1"/>
      <w:numFmt w:val="chineseCountingThousand"/>
      <w:lvlText w:val="（%2）"/>
      <w:lvlJc w:val="left"/>
      <w:pPr>
        <w:ind w:left="2269" w:hanging="567"/>
      </w:pPr>
      <w:rPr>
        <w:rFonts w:hint="eastAsia" w:ascii="宋体" w:hAnsi="宋体" w:eastAsia="宋体" w:cs="Times New Roman"/>
        <w:sz w:val="21"/>
        <w:szCs w:val="21"/>
      </w:rPr>
    </w:lvl>
    <w:lvl w:ilvl="2" w:tentative="0">
      <w:start w:val="1"/>
      <w:numFmt w:val="decimal"/>
      <w:lvlText w:val="%3."/>
      <w:lvlJc w:val="left"/>
      <w:pPr>
        <w:ind w:left="1418" w:hanging="567"/>
      </w:pPr>
      <w:rPr>
        <w:rFonts w:hint="eastAsia" w:cs="Times New Roman"/>
      </w:rPr>
    </w:lvl>
    <w:lvl w:ilvl="3" w:tentative="0">
      <w:start w:val="1"/>
      <w:numFmt w:val="decimal"/>
      <w:lvlText w:val="(%4)"/>
      <w:lvlJc w:val="left"/>
      <w:pPr>
        <w:ind w:left="1984" w:hanging="708"/>
      </w:pPr>
      <w:rPr>
        <w:rFonts w:hint="eastAsia" w:cs="Times New Roman"/>
      </w:rPr>
    </w:lvl>
    <w:lvl w:ilvl="4" w:tentative="0">
      <w:start w:val="1"/>
      <w:numFmt w:val="decimal"/>
      <w:lvlText w:val="%1.%2.%3.%4.%5"/>
      <w:lvlJc w:val="left"/>
      <w:pPr>
        <w:ind w:left="2551" w:hanging="850"/>
      </w:pPr>
      <w:rPr>
        <w:rFonts w:hint="eastAsia" w:cs="Times New Roman"/>
      </w:rPr>
    </w:lvl>
    <w:lvl w:ilvl="5" w:tentative="0">
      <w:start w:val="1"/>
      <w:numFmt w:val="decimal"/>
      <w:lvlText w:val="%1.%2.%3.%4.%5.%6"/>
      <w:lvlJc w:val="left"/>
      <w:pPr>
        <w:ind w:left="3260" w:hanging="1134"/>
      </w:pPr>
      <w:rPr>
        <w:rFonts w:hint="eastAsia" w:cs="Times New Roman"/>
      </w:rPr>
    </w:lvl>
    <w:lvl w:ilvl="6" w:tentative="0">
      <w:start w:val="1"/>
      <w:numFmt w:val="decimal"/>
      <w:lvlText w:val="%1.%2.%3.%4.%5.%6.%7"/>
      <w:lvlJc w:val="left"/>
      <w:pPr>
        <w:ind w:left="3827" w:hanging="1276"/>
      </w:pPr>
      <w:rPr>
        <w:rFonts w:hint="eastAsia" w:cs="Times New Roman"/>
      </w:rPr>
    </w:lvl>
    <w:lvl w:ilvl="7" w:tentative="0">
      <w:start w:val="1"/>
      <w:numFmt w:val="decimal"/>
      <w:lvlText w:val="%1.%2.%3.%4.%5.%6.%7.%8"/>
      <w:lvlJc w:val="left"/>
      <w:pPr>
        <w:ind w:left="4394" w:hanging="1418"/>
      </w:pPr>
      <w:rPr>
        <w:rFonts w:hint="eastAsia" w:cs="Times New Roman"/>
      </w:rPr>
    </w:lvl>
    <w:lvl w:ilvl="8" w:tentative="0">
      <w:start w:val="1"/>
      <w:numFmt w:val="decimal"/>
      <w:lvlText w:val="%1.%2.%3.%4.%5.%6.%7.%8.%9"/>
      <w:lvlJc w:val="left"/>
      <w:pPr>
        <w:ind w:left="5102" w:hanging="1700"/>
      </w:pPr>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DD2"/>
    <w:rsid w:val="000122CA"/>
    <w:rsid w:val="0003328B"/>
    <w:rsid w:val="00042042"/>
    <w:rsid w:val="000523E8"/>
    <w:rsid w:val="00053E9A"/>
    <w:rsid w:val="00054D5B"/>
    <w:rsid w:val="00055633"/>
    <w:rsid w:val="0007456C"/>
    <w:rsid w:val="00082492"/>
    <w:rsid w:val="00087F0D"/>
    <w:rsid w:val="000A4998"/>
    <w:rsid w:val="000A56AC"/>
    <w:rsid w:val="000E6104"/>
    <w:rsid w:val="00103CCD"/>
    <w:rsid w:val="001104DA"/>
    <w:rsid w:val="00114198"/>
    <w:rsid w:val="001214DA"/>
    <w:rsid w:val="00123BE9"/>
    <w:rsid w:val="00154F40"/>
    <w:rsid w:val="0018294C"/>
    <w:rsid w:val="0019050E"/>
    <w:rsid w:val="001A7528"/>
    <w:rsid w:val="001E7B37"/>
    <w:rsid w:val="001E7D2E"/>
    <w:rsid w:val="00201DA8"/>
    <w:rsid w:val="002030E0"/>
    <w:rsid w:val="002114F9"/>
    <w:rsid w:val="002156BB"/>
    <w:rsid w:val="00284B4A"/>
    <w:rsid w:val="002C02F0"/>
    <w:rsid w:val="002C0FF2"/>
    <w:rsid w:val="002C275D"/>
    <w:rsid w:val="002D216B"/>
    <w:rsid w:val="002E0EDF"/>
    <w:rsid w:val="0030435D"/>
    <w:rsid w:val="003339AA"/>
    <w:rsid w:val="00353FAA"/>
    <w:rsid w:val="00354771"/>
    <w:rsid w:val="003650AC"/>
    <w:rsid w:val="00371DD2"/>
    <w:rsid w:val="003721F8"/>
    <w:rsid w:val="003846E3"/>
    <w:rsid w:val="00385C53"/>
    <w:rsid w:val="00385DC0"/>
    <w:rsid w:val="00387388"/>
    <w:rsid w:val="003960CD"/>
    <w:rsid w:val="003975C0"/>
    <w:rsid w:val="003A26BB"/>
    <w:rsid w:val="003B5BA5"/>
    <w:rsid w:val="003D23B2"/>
    <w:rsid w:val="00402C30"/>
    <w:rsid w:val="004223E3"/>
    <w:rsid w:val="0042662A"/>
    <w:rsid w:val="00431C87"/>
    <w:rsid w:val="004324EE"/>
    <w:rsid w:val="00442E8A"/>
    <w:rsid w:val="00450719"/>
    <w:rsid w:val="00453684"/>
    <w:rsid w:val="0045679F"/>
    <w:rsid w:val="004576B6"/>
    <w:rsid w:val="0046191C"/>
    <w:rsid w:val="00485D33"/>
    <w:rsid w:val="00491F48"/>
    <w:rsid w:val="004944ED"/>
    <w:rsid w:val="00494BD6"/>
    <w:rsid w:val="004A0FAA"/>
    <w:rsid w:val="004D48F2"/>
    <w:rsid w:val="004E7D62"/>
    <w:rsid w:val="004F3D2D"/>
    <w:rsid w:val="0051483E"/>
    <w:rsid w:val="00520C95"/>
    <w:rsid w:val="00526132"/>
    <w:rsid w:val="00534512"/>
    <w:rsid w:val="005345AD"/>
    <w:rsid w:val="00544D1B"/>
    <w:rsid w:val="005664C3"/>
    <w:rsid w:val="00581500"/>
    <w:rsid w:val="00585182"/>
    <w:rsid w:val="0059701B"/>
    <w:rsid w:val="005A655F"/>
    <w:rsid w:val="005C040B"/>
    <w:rsid w:val="005E0073"/>
    <w:rsid w:val="005E0AE1"/>
    <w:rsid w:val="005E2B5A"/>
    <w:rsid w:val="005F4316"/>
    <w:rsid w:val="00626C0F"/>
    <w:rsid w:val="0063776E"/>
    <w:rsid w:val="00650717"/>
    <w:rsid w:val="00650749"/>
    <w:rsid w:val="00654B62"/>
    <w:rsid w:val="00661D22"/>
    <w:rsid w:val="00664500"/>
    <w:rsid w:val="00670C27"/>
    <w:rsid w:val="00690723"/>
    <w:rsid w:val="006A389B"/>
    <w:rsid w:val="006B305A"/>
    <w:rsid w:val="006C2050"/>
    <w:rsid w:val="006C2CA6"/>
    <w:rsid w:val="006C657D"/>
    <w:rsid w:val="006C73BA"/>
    <w:rsid w:val="006D5A1F"/>
    <w:rsid w:val="006D6942"/>
    <w:rsid w:val="006F48CC"/>
    <w:rsid w:val="0070104C"/>
    <w:rsid w:val="00727832"/>
    <w:rsid w:val="0074565E"/>
    <w:rsid w:val="007507E6"/>
    <w:rsid w:val="00754054"/>
    <w:rsid w:val="00754E8E"/>
    <w:rsid w:val="00766C30"/>
    <w:rsid w:val="00772D60"/>
    <w:rsid w:val="007801D0"/>
    <w:rsid w:val="00781E96"/>
    <w:rsid w:val="007C4521"/>
    <w:rsid w:val="007C5432"/>
    <w:rsid w:val="007E511A"/>
    <w:rsid w:val="007F2EC1"/>
    <w:rsid w:val="0080292E"/>
    <w:rsid w:val="008110D4"/>
    <w:rsid w:val="008402E6"/>
    <w:rsid w:val="00840E72"/>
    <w:rsid w:val="008453D3"/>
    <w:rsid w:val="008577B6"/>
    <w:rsid w:val="008A1D1B"/>
    <w:rsid w:val="008B3A5C"/>
    <w:rsid w:val="008C6F5C"/>
    <w:rsid w:val="008D0373"/>
    <w:rsid w:val="008E6450"/>
    <w:rsid w:val="008F0C92"/>
    <w:rsid w:val="008F5685"/>
    <w:rsid w:val="0091758D"/>
    <w:rsid w:val="009311C4"/>
    <w:rsid w:val="009343D3"/>
    <w:rsid w:val="009512D5"/>
    <w:rsid w:val="00972B63"/>
    <w:rsid w:val="009B3743"/>
    <w:rsid w:val="009C1F81"/>
    <w:rsid w:val="009E0B25"/>
    <w:rsid w:val="009E31ED"/>
    <w:rsid w:val="009F6C22"/>
    <w:rsid w:val="00A02E43"/>
    <w:rsid w:val="00A11E53"/>
    <w:rsid w:val="00A13E58"/>
    <w:rsid w:val="00A15DC0"/>
    <w:rsid w:val="00A24D68"/>
    <w:rsid w:val="00A2594D"/>
    <w:rsid w:val="00A32844"/>
    <w:rsid w:val="00A33860"/>
    <w:rsid w:val="00A37DFB"/>
    <w:rsid w:val="00A41211"/>
    <w:rsid w:val="00A74911"/>
    <w:rsid w:val="00A756E3"/>
    <w:rsid w:val="00A80064"/>
    <w:rsid w:val="00A800A6"/>
    <w:rsid w:val="00A94610"/>
    <w:rsid w:val="00AA2AEA"/>
    <w:rsid w:val="00AA5495"/>
    <w:rsid w:val="00AB1FB3"/>
    <w:rsid w:val="00AB29B9"/>
    <w:rsid w:val="00AB3BFD"/>
    <w:rsid w:val="00AE065D"/>
    <w:rsid w:val="00AE2D55"/>
    <w:rsid w:val="00AE3545"/>
    <w:rsid w:val="00AF76E0"/>
    <w:rsid w:val="00B04654"/>
    <w:rsid w:val="00B140B1"/>
    <w:rsid w:val="00B24D7E"/>
    <w:rsid w:val="00B326BF"/>
    <w:rsid w:val="00B47FDC"/>
    <w:rsid w:val="00B5459C"/>
    <w:rsid w:val="00B605C6"/>
    <w:rsid w:val="00BC4A50"/>
    <w:rsid w:val="00C1453E"/>
    <w:rsid w:val="00C1458C"/>
    <w:rsid w:val="00C30ECA"/>
    <w:rsid w:val="00C5117F"/>
    <w:rsid w:val="00C90858"/>
    <w:rsid w:val="00CB0ADC"/>
    <w:rsid w:val="00CC2872"/>
    <w:rsid w:val="00CD4E61"/>
    <w:rsid w:val="00CE45CF"/>
    <w:rsid w:val="00CF6007"/>
    <w:rsid w:val="00D0493C"/>
    <w:rsid w:val="00D2182F"/>
    <w:rsid w:val="00D34FC2"/>
    <w:rsid w:val="00D5333D"/>
    <w:rsid w:val="00DA4351"/>
    <w:rsid w:val="00DE0793"/>
    <w:rsid w:val="00DE6033"/>
    <w:rsid w:val="00DF1938"/>
    <w:rsid w:val="00E06567"/>
    <w:rsid w:val="00E1346B"/>
    <w:rsid w:val="00E34697"/>
    <w:rsid w:val="00E91495"/>
    <w:rsid w:val="00E95FA7"/>
    <w:rsid w:val="00EA301F"/>
    <w:rsid w:val="00EA5F94"/>
    <w:rsid w:val="00EC11B0"/>
    <w:rsid w:val="00ED21EC"/>
    <w:rsid w:val="00ED2722"/>
    <w:rsid w:val="00ED33C8"/>
    <w:rsid w:val="00EF14D8"/>
    <w:rsid w:val="00EF2BBE"/>
    <w:rsid w:val="00EF589C"/>
    <w:rsid w:val="00F02176"/>
    <w:rsid w:val="00F072E5"/>
    <w:rsid w:val="00F12D30"/>
    <w:rsid w:val="00F3638B"/>
    <w:rsid w:val="00F40D80"/>
    <w:rsid w:val="00F5716A"/>
    <w:rsid w:val="00F6312E"/>
    <w:rsid w:val="00F77E3A"/>
    <w:rsid w:val="00F81E33"/>
    <w:rsid w:val="00F96CEA"/>
    <w:rsid w:val="00FC4106"/>
    <w:rsid w:val="00FC5B4F"/>
    <w:rsid w:val="00FD169F"/>
    <w:rsid w:val="00FD70B1"/>
    <w:rsid w:val="00FE555B"/>
    <w:rsid w:val="00FF6ECF"/>
    <w:rsid w:val="01BF5A1F"/>
    <w:rsid w:val="027515C9"/>
    <w:rsid w:val="03D40A74"/>
    <w:rsid w:val="041D0C8A"/>
    <w:rsid w:val="046B5DCA"/>
    <w:rsid w:val="05A24A76"/>
    <w:rsid w:val="09CC2567"/>
    <w:rsid w:val="0AB03ED8"/>
    <w:rsid w:val="0BD37D16"/>
    <w:rsid w:val="11E17158"/>
    <w:rsid w:val="14BF3754"/>
    <w:rsid w:val="159C1158"/>
    <w:rsid w:val="15FD046E"/>
    <w:rsid w:val="17116864"/>
    <w:rsid w:val="17A852F3"/>
    <w:rsid w:val="18256E8C"/>
    <w:rsid w:val="18566465"/>
    <w:rsid w:val="18965586"/>
    <w:rsid w:val="1C9E1161"/>
    <w:rsid w:val="1CD22C5C"/>
    <w:rsid w:val="1E7342B1"/>
    <w:rsid w:val="1EC14237"/>
    <w:rsid w:val="21FB2D05"/>
    <w:rsid w:val="22507A98"/>
    <w:rsid w:val="26282B0F"/>
    <w:rsid w:val="276B2A4F"/>
    <w:rsid w:val="2B3C511D"/>
    <w:rsid w:val="2B6969B3"/>
    <w:rsid w:val="2C3C10AA"/>
    <w:rsid w:val="2D5E5DA2"/>
    <w:rsid w:val="35FA2D97"/>
    <w:rsid w:val="3EE24BFA"/>
    <w:rsid w:val="40CA10F4"/>
    <w:rsid w:val="45040986"/>
    <w:rsid w:val="458B34E3"/>
    <w:rsid w:val="47517D62"/>
    <w:rsid w:val="47A92F0B"/>
    <w:rsid w:val="4C8F1FC5"/>
    <w:rsid w:val="4DD979AC"/>
    <w:rsid w:val="4DEA0526"/>
    <w:rsid w:val="52E8138F"/>
    <w:rsid w:val="555D1E3B"/>
    <w:rsid w:val="566964F3"/>
    <w:rsid w:val="57BB25EC"/>
    <w:rsid w:val="5D577825"/>
    <w:rsid w:val="5EC66053"/>
    <w:rsid w:val="62A02489"/>
    <w:rsid w:val="634928D9"/>
    <w:rsid w:val="64560999"/>
    <w:rsid w:val="68CB5C21"/>
    <w:rsid w:val="6B026AAA"/>
    <w:rsid w:val="6DAA235D"/>
    <w:rsid w:val="75271304"/>
    <w:rsid w:val="7CE977C5"/>
    <w:rsid w:val="7ED75723"/>
    <w:rsid w:val="7F62271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5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60"/>
    <w:unhideWhenUsed/>
    <w:qFormat/>
    <w:uiPriority w:val="9"/>
    <w:pPr>
      <w:keepNext/>
      <w:keepLines/>
      <w:spacing w:before="160" w:after="160" w:line="360" w:lineRule="auto"/>
      <w:outlineLvl w:val="2"/>
    </w:pPr>
    <w:rPr>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spacing w:line="360" w:lineRule="auto"/>
      <w:ind w:firstLine="200" w:firstLineChars="200"/>
    </w:pPr>
    <w:rPr>
      <w:rFonts w:ascii="宋体" w:cs="宋体"/>
      <w:sz w:val="24"/>
    </w:rPr>
  </w:style>
  <w:style w:type="paragraph" w:styleId="6">
    <w:name w:val="annotation text"/>
    <w:basedOn w:val="1"/>
    <w:link w:val="64"/>
    <w:semiHidden/>
    <w:unhideWhenUsed/>
    <w:qFormat/>
    <w:uiPriority w:val="99"/>
    <w:pPr>
      <w:jc w:val="left"/>
    </w:pPr>
  </w:style>
  <w:style w:type="paragraph" w:styleId="7">
    <w:name w:val="Body Text"/>
    <w:basedOn w:val="1"/>
    <w:qFormat/>
    <w:uiPriority w:val="0"/>
    <w:rPr>
      <w:rFonts w:cs="Times New Roman"/>
      <w:sz w:val="28"/>
      <w:szCs w:val="20"/>
    </w:rPr>
  </w:style>
  <w:style w:type="paragraph" w:styleId="8">
    <w:name w:val="Plain Text"/>
    <w:basedOn w:val="1"/>
    <w:unhideWhenUsed/>
    <w:qFormat/>
    <w:uiPriority w:val="0"/>
    <w:pPr>
      <w:widowControl w:val="0"/>
      <w:jc w:val="both"/>
    </w:pPr>
    <w:rPr>
      <w:rFonts w:ascii="宋体" w:hAnsi="Courier New"/>
      <w:kern w:val="2"/>
    </w:rPr>
  </w:style>
  <w:style w:type="paragraph" w:styleId="9">
    <w:name w:val="Balloon Text"/>
    <w:basedOn w:val="1"/>
    <w:link w:val="18"/>
    <w:semiHidden/>
    <w:unhideWhenUsed/>
    <w:qFormat/>
    <w:uiPriority w:val="99"/>
    <w:rPr>
      <w:sz w:val="18"/>
      <w:szCs w:val="18"/>
    </w:rPr>
  </w:style>
  <w:style w:type="paragraph" w:styleId="10">
    <w:name w:val="footer"/>
    <w:basedOn w:val="1"/>
    <w:link w:val="17"/>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11">
    <w:name w:val="annotation subject"/>
    <w:basedOn w:val="6"/>
    <w:next w:val="6"/>
    <w:link w:val="65"/>
    <w:semiHidden/>
    <w:unhideWhenUsed/>
    <w:qFormat/>
    <w:uiPriority w:val="99"/>
    <w:rPr>
      <w:b/>
      <w:bCs/>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styleId="16">
    <w:name w:val="annotation reference"/>
    <w:basedOn w:val="14"/>
    <w:semiHidden/>
    <w:unhideWhenUsed/>
    <w:qFormat/>
    <w:uiPriority w:val="99"/>
    <w:rPr>
      <w:sz w:val="21"/>
      <w:szCs w:val="21"/>
    </w:rPr>
  </w:style>
  <w:style w:type="character" w:customStyle="1" w:styleId="17">
    <w:name w:val="页脚 Char"/>
    <w:basedOn w:val="14"/>
    <w:link w:val="10"/>
    <w:qFormat/>
    <w:uiPriority w:val="99"/>
    <w:rPr>
      <w:rFonts w:ascii="Times New Roman" w:hAnsi="Times New Roman" w:eastAsia="宋体" w:cs="Times New Roman"/>
      <w:sz w:val="18"/>
      <w:szCs w:val="18"/>
    </w:rPr>
  </w:style>
  <w:style w:type="character" w:customStyle="1" w:styleId="18">
    <w:name w:val="批注框文本 Char"/>
    <w:basedOn w:val="14"/>
    <w:link w:val="9"/>
    <w:semiHidden/>
    <w:qFormat/>
    <w:uiPriority w:val="99"/>
    <w:rPr>
      <w:sz w:val="18"/>
      <w:szCs w:val="18"/>
    </w:rPr>
  </w:style>
  <w:style w:type="paragraph" w:styleId="19">
    <w:name w:val="List Paragraph"/>
    <w:basedOn w:val="1"/>
    <w:qFormat/>
    <w:uiPriority w:val="34"/>
    <w:pPr>
      <w:ind w:firstLine="420" w:firstLineChars="200"/>
    </w:pPr>
  </w:style>
  <w:style w:type="paragraph" w:customStyle="1" w:styleId="20">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
    <w:name w:val="font0"/>
    <w:basedOn w:val="1"/>
    <w:qFormat/>
    <w:uiPriority w:val="0"/>
    <w:pPr>
      <w:widowControl/>
      <w:spacing w:before="100" w:beforeAutospacing="1" w:after="100" w:afterAutospacing="1"/>
      <w:jc w:val="left"/>
    </w:pPr>
    <w:rPr>
      <w:rFonts w:ascii="宋体" w:hAnsi="宋体" w:eastAsia="宋体" w:cs="宋体"/>
      <w:color w:val="000000"/>
      <w:kern w:val="0"/>
      <w:sz w:val="24"/>
      <w:szCs w:val="24"/>
    </w:rPr>
  </w:style>
  <w:style w:type="paragraph" w:customStyle="1" w:styleId="22">
    <w:name w:val="font1"/>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3">
    <w:name w:val="font2"/>
    <w:basedOn w:val="1"/>
    <w:qFormat/>
    <w:uiPriority w:val="0"/>
    <w:pPr>
      <w:widowControl/>
      <w:spacing w:before="100" w:beforeAutospacing="1" w:after="100" w:afterAutospacing="1"/>
      <w:jc w:val="left"/>
    </w:pPr>
    <w:rPr>
      <w:rFonts w:ascii="宋体" w:hAnsi="宋体" w:eastAsia="宋体" w:cs="宋体"/>
      <w:b/>
      <w:bCs/>
      <w:color w:val="000000"/>
      <w:kern w:val="0"/>
      <w:sz w:val="20"/>
      <w:szCs w:val="20"/>
    </w:rPr>
  </w:style>
  <w:style w:type="paragraph" w:customStyle="1" w:styleId="24">
    <w:name w:val="font3"/>
    <w:basedOn w:val="1"/>
    <w:qFormat/>
    <w:uiPriority w:val="0"/>
    <w:pPr>
      <w:widowControl/>
      <w:spacing w:before="100" w:beforeAutospacing="1" w:after="100" w:afterAutospacing="1"/>
      <w:jc w:val="left"/>
    </w:pPr>
    <w:rPr>
      <w:rFonts w:ascii="宋体" w:hAnsi="宋体" w:eastAsia="宋体" w:cs="宋体"/>
      <w:color w:val="00B050"/>
      <w:kern w:val="0"/>
      <w:sz w:val="20"/>
      <w:szCs w:val="20"/>
    </w:rPr>
  </w:style>
  <w:style w:type="paragraph" w:customStyle="1" w:styleId="25">
    <w:name w:val="font4"/>
    <w:basedOn w:val="1"/>
    <w:qFormat/>
    <w:uiPriority w:val="0"/>
    <w:pPr>
      <w:widowControl/>
      <w:spacing w:before="100" w:beforeAutospacing="1" w:after="100" w:afterAutospacing="1"/>
      <w:jc w:val="left"/>
    </w:pPr>
    <w:rPr>
      <w:rFonts w:ascii="宋体" w:hAnsi="宋体" w:eastAsia="宋体" w:cs="宋体"/>
      <w:color w:val="FF0000"/>
      <w:kern w:val="0"/>
      <w:sz w:val="20"/>
      <w:szCs w:val="20"/>
    </w:rPr>
  </w:style>
  <w:style w:type="paragraph" w:customStyle="1" w:styleId="26">
    <w:name w:val="font5"/>
    <w:basedOn w:val="1"/>
    <w:qFormat/>
    <w:uiPriority w:val="0"/>
    <w:pPr>
      <w:widowControl/>
      <w:spacing w:before="100" w:beforeAutospacing="1" w:after="100" w:afterAutospacing="1"/>
      <w:jc w:val="left"/>
    </w:pPr>
    <w:rPr>
      <w:rFonts w:ascii="宋体" w:hAnsi="宋体" w:eastAsia="宋体" w:cs="宋体"/>
      <w:b/>
      <w:bCs/>
      <w:color w:val="000000"/>
      <w:kern w:val="0"/>
      <w:sz w:val="24"/>
      <w:szCs w:val="24"/>
    </w:rPr>
  </w:style>
  <w:style w:type="paragraph" w:customStyle="1" w:styleId="27">
    <w:name w:val="font6"/>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8">
    <w:name w:val="font7"/>
    <w:basedOn w:val="1"/>
    <w:qFormat/>
    <w:uiPriority w:val="0"/>
    <w:pPr>
      <w:widowControl/>
      <w:spacing w:before="100" w:beforeAutospacing="1" w:after="100" w:afterAutospacing="1"/>
      <w:jc w:val="left"/>
    </w:pPr>
    <w:rPr>
      <w:rFonts w:ascii="宋体" w:hAnsi="宋体" w:eastAsia="宋体" w:cs="宋体"/>
      <w:b/>
      <w:bCs/>
      <w:color w:val="000000"/>
      <w:kern w:val="0"/>
      <w:sz w:val="18"/>
      <w:szCs w:val="18"/>
    </w:rPr>
  </w:style>
  <w:style w:type="paragraph" w:customStyle="1" w:styleId="29">
    <w:name w:val="font8"/>
    <w:basedOn w:val="1"/>
    <w:qFormat/>
    <w:uiPriority w:val="0"/>
    <w:pPr>
      <w:widowControl/>
      <w:spacing w:before="100" w:beforeAutospacing="1" w:after="100" w:afterAutospacing="1"/>
      <w:jc w:val="left"/>
    </w:pPr>
    <w:rPr>
      <w:rFonts w:ascii="宋体" w:hAnsi="宋体" w:eastAsia="宋体" w:cs="宋体"/>
      <w:b/>
      <w:bCs/>
      <w:color w:val="000000"/>
      <w:kern w:val="0"/>
      <w:sz w:val="20"/>
      <w:szCs w:val="20"/>
    </w:rPr>
  </w:style>
  <w:style w:type="paragraph" w:customStyle="1" w:styleId="30">
    <w:name w:val="et1"/>
    <w:basedOn w:val="1"/>
    <w:qFormat/>
    <w:uiPriority w:val="0"/>
    <w:pPr>
      <w:widowControl/>
      <w:spacing w:before="100" w:beforeAutospacing="1" w:after="100" w:afterAutospacing="1"/>
      <w:jc w:val="left"/>
      <w:textAlignment w:val="bottom"/>
    </w:pPr>
    <w:rPr>
      <w:rFonts w:ascii="宋体" w:hAnsi="宋体" w:eastAsia="宋体" w:cs="宋体"/>
      <w:kern w:val="0"/>
      <w:sz w:val="24"/>
      <w:szCs w:val="24"/>
    </w:rPr>
  </w:style>
  <w:style w:type="paragraph" w:customStyle="1" w:styleId="31">
    <w:name w:val="et3"/>
    <w:basedOn w:val="1"/>
    <w:qFormat/>
    <w:uiPriority w:val="0"/>
    <w:pPr>
      <w:widowControl/>
      <w:spacing w:before="100" w:beforeAutospacing="1" w:after="100" w:afterAutospacing="1"/>
      <w:jc w:val="right"/>
      <w:textAlignment w:val="bottom"/>
    </w:pPr>
    <w:rPr>
      <w:rFonts w:ascii="宋体" w:hAnsi="宋体" w:eastAsia="宋体" w:cs="宋体"/>
      <w:kern w:val="0"/>
      <w:sz w:val="24"/>
      <w:szCs w:val="24"/>
    </w:rPr>
  </w:style>
  <w:style w:type="paragraph" w:customStyle="1" w:styleId="32">
    <w:name w:val="et4"/>
    <w:basedOn w:val="1"/>
    <w:qFormat/>
    <w:uiPriority w:val="0"/>
    <w:pPr>
      <w:widowControl/>
      <w:spacing w:before="100" w:beforeAutospacing="1" w:after="100" w:afterAutospacing="1"/>
      <w:jc w:val="center"/>
      <w:textAlignment w:val="bottom"/>
    </w:pPr>
    <w:rPr>
      <w:rFonts w:ascii="宋体" w:hAnsi="宋体" w:eastAsia="宋体" w:cs="宋体"/>
      <w:kern w:val="0"/>
      <w:sz w:val="24"/>
      <w:szCs w:val="24"/>
    </w:rPr>
  </w:style>
  <w:style w:type="paragraph" w:customStyle="1" w:styleId="33">
    <w:name w:val="et5"/>
    <w:basedOn w:val="1"/>
    <w:qFormat/>
    <w:uiPriority w:val="0"/>
    <w:pPr>
      <w:widowControl/>
      <w:spacing w:before="100" w:beforeAutospacing="1" w:after="100" w:afterAutospacing="1"/>
      <w:jc w:val="left"/>
      <w:textAlignment w:val="bottom"/>
    </w:pPr>
    <w:rPr>
      <w:rFonts w:ascii="宋体" w:hAnsi="宋体" w:eastAsia="宋体" w:cs="宋体"/>
      <w:kern w:val="0"/>
      <w:sz w:val="20"/>
      <w:szCs w:val="20"/>
    </w:rPr>
  </w:style>
  <w:style w:type="paragraph" w:customStyle="1" w:styleId="34">
    <w:name w:val="et6"/>
    <w:basedOn w:val="1"/>
    <w:qFormat/>
    <w:uiPriority w:val="0"/>
    <w:pPr>
      <w:widowControl/>
      <w:spacing w:before="100" w:beforeAutospacing="1" w:after="100" w:afterAutospacing="1"/>
      <w:jc w:val="left"/>
      <w:textAlignment w:val="bottom"/>
    </w:pPr>
    <w:rPr>
      <w:rFonts w:ascii="宋体" w:hAnsi="宋体" w:eastAsia="宋体" w:cs="宋体"/>
      <w:b/>
      <w:bCs/>
      <w:kern w:val="0"/>
      <w:sz w:val="24"/>
      <w:szCs w:val="24"/>
    </w:rPr>
  </w:style>
  <w:style w:type="paragraph" w:customStyle="1" w:styleId="35">
    <w:name w:val="et7"/>
    <w:basedOn w:val="1"/>
    <w:qFormat/>
    <w:uiPriority w:val="0"/>
    <w:pPr>
      <w:widowControl/>
      <w:spacing w:before="100" w:beforeAutospacing="1" w:after="100" w:afterAutospacing="1"/>
      <w:jc w:val="left"/>
      <w:textAlignment w:val="bottom"/>
    </w:pPr>
    <w:rPr>
      <w:rFonts w:ascii="宋体" w:hAnsi="宋体" w:eastAsia="宋体" w:cs="宋体"/>
      <w:b/>
      <w:bCs/>
      <w:kern w:val="0"/>
      <w:sz w:val="20"/>
      <w:szCs w:val="20"/>
    </w:rPr>
  </w:style>
  <w:style w:type="paragraph" w:customStyle="1" w:styleId="36">
    <w:name w:val="et8"/>
    <w:basedOn w:val="1"/>
    <w:qFormat/>
    <w:uiPriority w:val="0"/>
    <w:pPr>
      <w:widowControl/>
      <w:spacing w:before="100" w:beforeAutospacing="1" w:after="100" w:afterAutospacing="1"/>
      <w:jc w:val="left"/>
      <w:textAlignment w:val="bottom"/>
    </w:pPr>
    <w:rPr>
      <w:rFonts w:ascii="宋体" w:hAnsi="宋体" w:eastAsia="宋体" w:cs="宋体"/>
      <w:color w:val="FF0000"/>
      <w:kern w:val="0"/>
      <w:sz w:val="20"/>
      <w:szCs w:val="20"/>
    </w:rPr>
  </w:style>
  <w:style w:type="paragraph" w:customStyle="1" w:styleId="37">
    <w:name w:val="et9"/>
    <w:basedOn w:val="1"/>
    <w:qFormat/>
    <w:uiPriority w:val="0"/>
    <w:pPr>
      <w:widowControl/>
      <w:spacing w:before="100" w:beforeAutospacing="1" w:after="100" w:afterAutospacing="1"/>
      <w:jc w:val="left"/>
      <w:textAlignment w:val="bottom"/>
    </w:pPr>
    <w:rPr>
      <w:rFonts w:ascii="宋体" w:hAnsi="宋体" w:eastAsia="宋体" w:cs="宋体"/>
      <w:color w:val="00B050"/>
      <w:kern w:val="0"/>
      <w:sz w:val="20"/>
      <w:szCs w:val="20"/>
    </w:rPr>
  </w:style>
  <w:style w:type="paragraph" w:customStyle="1" w:styleId="38">
    <w:name w:val="et1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kern w:val="0"/>
      <w:sz w:val="20"/>
      <w:szCs w:val="20"/>
    </w:rPr>
  </w:style>
  <w:style w:type="paragraph" w:customStyle="1" w:styleId="39">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kern w:val="0"/>
      <w:sz w:val="20"/>
      <w:szCs w:val="20"/>
    </w:rPr>
  </w:style>
  <w:style w:type="paragraph" w:customStyle="1" w:styleId="40">
    <w:name w:val="et12"/>
    <w:basedOn w:val="1"/>
    <w:qFormat/>
    <w:uiPriority w:val="0"/>
    <w:pPr>
      <w:widowControl/>
      <w:pBdr>
        <w:top w:val="single" w:color="000000" w:sz="4" w:space="0"/>
        <w:left w:val="single" w:color="000000" w:sz="4" w:space="0"/>
        <w:bottom w:val="single" w:color="000000" w:sz="4" w:space="0"/>
        <w:right w:val="single" w:color="000000" w:sz="4" w:space="0"/>
      </w:pBdr>
      <w:shd w:val="clear" w:color="auto" w:fill="538DD5"/>
      <w:spacing w:before="100" w:beforeAutospacing="1" w:after="100" w:afterAutospacing="1"/>
      <w:jc w:val="center"/>
    </w:pPr>
    <w:rPr>
      <w:rFonts w:ascii="宋体" w:hAnsi="宋体" w:eastAsia="宋体" w:cs="宋体"/>
      <w:b/>
      <w:bCs/>
      <w:kern w:val="0"/>
      <w:sz w:val="20"/>
      <w:szCs w:val="20"/>
    </w:rPr>
  </w:style>
  <w:style w:type="paragraph" w:customStyle="1" w:styleId="41">
    <w:name w:val="et13"/>
    <w:basedOn w:val="1"/>
    <w:qFormat/>
    <w:uiPriority w:val="0"/>
    <w:pPr>
      <w:widowControl/>
      <w:pBdr>
        <w:top w:val="single" w:color="000000" w:sz="4" w:space="0"/>
        <w:left w:val="single" w:color="000000" w:sz="4" w:space="0"/>
        <w:bottom w:val="single" w:color="000000" w:sz="4" w:space="0"/>
        <w:right w:val="single" w:color="000000" w:sz="4" w:space="0"/>
      </w:pBdr>
      <w:shd w:val="clear" w:color="auto" w:fill="538DD5"/>
      <w:spacing w:before="100" w:beforeAutospacing="1" w:after="100" w:afterAutospacing="1"/>
      <w:jc w:val="left"/>
    </w:pPr>
    <w:rPr>
      <w:rFonts w:ascii="宋体" w:hAnsi="宋体" w:eastAsia="宋体" w:cs="宋体"/>
      <w:b/>
      <w:bCs/>
      <w:kern w:val="0"/>
      <w:sz w:val="20"/>
      <w:szCs w:val="20"/>
    </w:rPr>
  </w:style>
  <w:style w:type="paragraph" w:customStyle="1" w:styleId="42">
    <w:name w:val="et14"/>
    <w:basedOn w:val="1"/>
    <w:qFormat/>
    <w:uiPriority w:val="0"/>
    <w:pPr>
      <w:widowControl/>
      <w:pBdr>
        <w:top w:val="single" w:color="000000" w:sz="4" w:space="0"/>
        <w:left w:val="single" w:color="000000" w:sz="4" w:space="0"/>
        <w:bottom w:val="single" w:color="000000" w:sz="4" w:space="0"/>
        <w:right w:val="single" w:color="000000" w:sz="4" w:space="0"/>
      </w:pBdr>
      <w:shd w:val="clear" w:color="auto" w:fill="538DD5"/>
      <w:spacing w:before="100" w:beforeAutospacing="1" w:after="100" w:afterAutospacing="1"/>
      <w:jc w:val="right"/>
    </w:pPr>
    <w:rPr>
      <w:rFonts w:ascii="宋体" w:hAnsi="宋体" w:eastAsia="宋体" w:cs="宋体"/>
      <w:b/>
      <w:bCs/>
      <w:kern w:val="0"/>
      <w:sz w:val="20"/>
      <w:szCs w:val="20"/>
    </w:rPr>
  </w:style>
  <w:style w:type="paragraph" w:customStyle="1" w:styleId="43">
    <w:name w:val="et1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kern w:val="0"/>
      <w:sz w:val="20"/>
      <w:szCs w:val="20"/>
    </w:rPr>
  </w:style>
  <w:style w:type="paragraph" w:customStyle="1" w:styleId="44">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kern w:val="0"/>
      <w:sz w:val="20"/>
      <w:szCs w:val="20"/>
    </w:rPr>
  </w:style>
  <w:style w:type="paragraph" w:customStyle="1" w:styleId="45">
    <w:name w:val="et1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right"/>
    </w:pPr>
    <w:rPr>
      <w:rFonts w:ascii="宋体" w:hAnsi="宋体" w:eastAsia="宋体" w:cs="宋体"/>
      <w:kern w:val="0"/>
      <w:sz w:val="20"/>
      <w:szCs w:val="20"/>
    </w:rPr>
  </w:style>
  <w:style w:type="paragraph" w:customStyle="1" w:styleId="46">
    <w:name w:val="et18"/>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right"/>
    </w:pPr>
    <w:rPr>
      <w:rFonts w:ascii="宋体" w:hAnsi="宋体" w:eastAsia="宋体" w:cs="宋体"/>
      <w:b/>
      <w:bCs/>
      <w:kern w:val="0"/>
      <w:sz w:val="20"/>
      <w:szCs w:val="20"/>
    </w:rPr>
  </w:style>
  <w:style w:type="paragraph" w:customStyle="1" w:styleId="47">
    <w:name w:val="et19"/>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right"/>
    </w:pPr>
    <w:rPr>
      <w:rFonts w:ascii="宋体" w:hAnsi="宋体" w:eastAsia="宋体" w:cs="宋体"/>
      <w:kern w:val="0"/>
      <w:sz w:val="20"/>
      <w:szCs w:val="20"/>
    </w:rPr>
  </w:style>
  <w:style w:type="paragraph" w:customStyle="1" w:styleId="48">
    <w:name w:val="et20"/>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b/>
      <w:bCs/>
      <w:kern w:val="0"/>
      <w:sz w:val="20"/>
      <w:szCs w:val="20"/>
    </w:rPr>
  </w:style>
  <w:style w:type="paragraph" w:customStyle="1" w:styleId="49">
    <w:name w:val="et21"/>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right"/>
    </w:pPr>
    <w:rPr>
      <w:rFonts w:ascii="宋体" w:hAnsi="宋体" w:eastAsia="宋体" w:cs="宋体"/>
      <w:b/>
      <w:bCs/>
      <w:kern w:val="0"/>
      <w:sz w:val="18"/>
      <w:szCs w:val="18"/>
    </w:rPr>
  </w:style>
  <w:style w:type="paragraph" w:customStyle="1" w:styleId="50">
    <w:name w:val="et22"/>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b/>
      <w:bCs/>
      <w:color w:val="000000"/>
      <w:kern w:val="0"/>
      <w:sz w:val="20"/>
      <w:szCs w:val="20"/>
    </w:rPr>
  </w:style>
  <w:style w:type="paragraph" w:customStyle="1" w:styleId="51">
    <w:name w:val="et23"/>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kern w:val="0"/>
      <w:sz w:val="20"/>
      <w:szCs w:val="20"/>
    </w:rPr>
  </w:style>
  <w:style w:type="paragraph" w:customStyle="1" w:styleId="52">
    <w:name w:val="et24"/>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color w:val="000000"/>
      <w:kern w:val="0"/>
      <w:sz w:val="20"/>
      <w:szCs w:val="20"/>
    </w:rPr>
  </w:style>
  <w:style w:type="paragraph" w:customStyle="1" w:styleId="53">
    <w:name w:val="et2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54">
    <w:name w:val="et2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right"/>
    </w:pPr>
    <w:rPr>
      <w:rFonts w:ascii="宋体" w:hAnsi="宋体" w:eastAsia="宋体" w:cs="宋体"/>
      <w:b/>
      <w:bCs/>
      <w:kern w:val="0"/>
      <w:sz w:val="20"/>
      <w:szCs w:val="20"/>
    </w:rPr>
  </w:style>
  <w:style w:type="paragraph" w:customStyle="1" w:styleId="55">
    <w:name w:val="et2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color w:val="000000"/>
      <w:kern w:val="0"/>
      <w:sz w:val="20"/>
      <w:szCs w:val="20"/>
    </w:rPr>
  </w:style>
  <w:style w:type="paragraph" w:customStyle="1" w:styleId="56">
    <w:name w:val="et28"/>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b/>
      <w:bCs/>
      <w:kern w:val="0"/>
      <w:sz w:val="20"/>
      <w:szCs w:val="20"/>
    </w:rPr>
  </w:style>
  <w:style w:type="paragraph" w:customStyle="1" w:styleId="57">
    <w:name w:val="et2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kern w:val="0"/>
      <w:sz w:val="20"/>
      <w:szCs w:val="20"/>
    </w:rPr>
  </w:style>
  <w:style w:type="paragraph" w:customStyle="1" w:styleId="58">
    <w:name w:val="et3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kern w:val="0"/>
      <w:sz w:val="20"/>
      <w:szCs w:val="20"/>
    </w:rPr>
  </w:style>
  <w:style w:type="character" w:customStyle="1" w:styleId="59">
    <w:name w:val="标题 2 Char"/>
    <w:basedOn w:val="14"/>
    <w:link w:val="4"/>
    <w:qFormat/>
    <w:uiPriority w:val="9"/>
    <w:rPr>
      <w:rFonts w:asciiTheme="majorHAnsi" w:hAnsiTheme="majorHAnsi" w:eastAsiaTheme="majorEastAsia" w:cstheme="majorBidi"/>
      <w:b/>
      <w:bCs/>
      <w:kern w:val="2"/>
      <w:sz w:val="32"/>
      <w:szCs w:val="32"/>
    </w:rPr>
  </w:style>
  <w:style w:type="character" w:customStyle="1" w:styleId="60">
    <w:name w:val="标题 3 Char"/>
    <w:basedOn w:val="14"/>
    <w:link w:val="5"/>
    <w:qFormat/>
    <w:uiPriority w:val="9"/>
    <w:rPr>
      <w:b/>
      <w:bCs/>
      <w:kern w:val="2"/>
      <w:sz w:val="32"/>
      <w:szCs w:val="32"/>
    </w:rPr>
  </w:style>
  <w:style w:type="character" w:customStyle="1" w:styleId="61">
    <w:name w:val="标题 1 Char"/>
    <w:basedOn w:val="14"/>
    <w:link w:val="3"/>
    <w:qFormat/>
    <w:uiPriority w:val="9"/>
    <w:rPr>
      <w:b/>
      <w:bCs/>
      <w:kern w:val="44"/>
      <w:sz w:val="44"/>
      <w:szCs w:val="44"/>
    </w:rPr>
  </w:style>
  <w:style w:type="character" w:customStyle="1" w:styleId="62">
    <w:name w:val="正文缩进2格 Char"/>
    <w:link w:val="63"/>
    <w:qFormat/>
    <w:locked/>
    <w:uiPriority w:val="0"/>
    <w:rPr>
      <w:rFonts w:ascii="仿宋_GB2312" w:hAnsi="宋体" w:eastAsia="仿宋_GB2312"/>
      <w:sz w:val="31"/>
      <w:szCs w:val="28"/>
    </w:rPr>
  </w:style>
  <w:style w:type="paragraph" w:customStyle="1" w:styleId="63">
    <w:name w:val="正文缩进2格"/>
    <w:basedOn w:val="1"/>
    <w:link w:val="62"/>
    <w:qFormat/>
    <w:uiPriority w:val="0"/>
    <w:pPr>
      <w:spacing w:after="120" w:line="600" w:lineRule="exact"/>
      <w:ind w:firstLine="639" w:firstLineChars="206"/>
    </w:pPr>
    <w:rPr>
      <w:rFonts w:ascii="仿宋_GB2312" w:hAnsi="宋体" w:eastAsia="仿宋_GB2312"/>
      <w:kern w:val="0"/>
      <w:sz w:val="31"/>
      <w:szCs w:val="28"/>
    </w:rPr>
  </w:style>
  <w:style w:type="character" w:customStyle="1" w:styleId="64">
    <w:name w:val="批注文字 Char"/>
    <w:basedOn w:val="14"/>
    <w:link w:val="6"/>
    <w:semiHidden/>
    <w:qFormat/>
    <w:uiPriority w:val="99"/>
    <w:rPr>
      <w:kern w:val="2"/>
      <w:sz w:val="21"/>
      <w:szCs w:val="22"/>
    </w:rPr>
  </w:style>
  <w:style w:type="character" w:customStyle="1" w:styleId="65">
    <w:name w:val="批注主题 Char"/>
    <w:basedOn w:val="64"/>
    <w:link w:val="11"/>
    <w:semiHidden/>
    <w:qFormat/>
    <w:uiPriority w:val="99"/>
    <w:rPr>
      <w:b/>
      <w:bCs/>
      <w:kern w:val="2"/>
      <w:sz w:val="21"/>
      <w:szCs w:val="22"/>
    </w:rPr>
  </w:style>
  <w:style w:type="character" w:customStyle="1" w:styleId="66">
    <w:name w:val="font11"/>
    <w:basedOn w:val="14"/>
    <w:qFormat/>
    <w:uiPriority w:val="0"/>
    <w:rPr>
      <w:rFonts w:hint="eastAsia" w:ascii="微软雅黑" w:hAnsi="微软雅黑" w:eastAsia="微软雅黑" w:cs="微软雅黑"/>
      <w:color w:val="000000"/>
      <w:sz w:val="22"/>
      <w:szCs w:val="22"/>
      <w:u w:val="none"/>
    </w:rPr>
  </w:style>
  <w:style w:type="paragraph" w:customStyle="1" w:styleId="67">
    <w:name w:val="图"/>
    <w:basedOn w:val="1"/>
    <w:qFormat/>
    <w:uiPriority w:val="0"/>
    <w:pPr>
      <w:keepNext/>
      <w:widowControl w:val="0"/>
      <w:spacing w:before="60" w:after="60" w:line="300" w:lineRule="auto"/>
      <w:jc w:val="center"/>
      <w:textAlignment w:val="center"/>
    </w:pPr>
    <w:rPr>
      <w:spacing w:val="2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055FE3-17B8-4133-8685-E64EB25E741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20</Pages>
  <Words>2500</Words>
  <Characters>14256</Characters>
  <Lines>118</Lines>
  <Paragraphs>33</Paragraphs>
  <TotalTime>39</TotalTime>
  <ScaleCrop>false</ScaleCrop>
  <LinksUpToDate>false</LinksUpToDate>
  <CharactersWithSpaces>16723</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2021-04-25T09:16:00Z</dcterms:created>
  <dc:creator>User</dc:creator>
  <cp:lastModifiedBy>Y</cp:lastModifiedBy>
  <dcterms:modified xsi:type="dcterms:W3CDTF">2021-04-30T09:21:44Z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9A1634E7E9B44FC1BA0A1C8F64FBBE92</vt:lpwstr>
  </property>
</Properties>
</file>