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rPr>
          <w:rFonts w:hint="eastAsia" w:ascii="仿宋_GB2312" w:hAnsi="仿宋_GB2312" w:eastAsia="仿宋_GB2312" w:cs="仿宋_GB2312"/>
          <w:b/>
          <w:color w:val="212121"/>
          <w:spacing w:val="10"/>
          <w:kern w:val="2"/>
          <w:sz w:val="24"/>
          <w:szCs w:val="24"/>
          <w:lang w:val="zh-CN" w:eastAsia="zh-CN" w:bidi="ar-SA"/>
        </w:rPr>
      </w:pPr>
      <w:r>
        <w:rPr>
          <w:rFonts w:hint="eastAsia" w:ascii="仿宋_GB2312" w:hAnsi="仿宋_GB2312" w:eastAsia="仿宋_GB2312" w:cs="仿宋_GB2312"/>
          <w:b/>
          <w:color w:val="212121"/>
          <w:spacing w:val="10"/>
          <w:kern w:val="2"/>
          <w:sz w:val="24"/>
          <w:szCs w:val="24"/>
          <w:lang w:val="zh-CN" w:eastAsia="zh-CN" w:bidi="ar-SA"/>
        </w:rPr>
        <w:t>附件</w:t>
      </w:r>
      <w:r>
        <w:rPr>
          <w:rFonts w:hint="eastAsia" w:ascii="仿宋_GB2312" w:hAnsi="仿宋_GB2312" w:eastAsia="仿宋_GB2312" w:cs="仿宋_GB2312"/>
          <w:b/>
          <w:color w:val="212121"/>
          <w:spacing w:val="10"/>
          <w:kern w:val="2"/>
          <w:sz w:val="24"/>
          <w:szCs w:val="24"/>
          <w:lang w:val="en-US" w:eastAsia="zh-CN" w:bidi="ar-SA"/>
        </w:rPr>
        <w:t>1</w:t>
      </w:r>
    </w:p>
    <w:tbl>
      <w:tblPr>
        <w:tblStyle w:val="7"/>
        <w:tblW w:w="1461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05"/>
        <w:gridCol w:w="1080"/>
        <w:gridCol w:w="1080"/>
        <w:gridCol w:w="1080"/>
        <w:gridCol w:w="855"/>
        <w:gridCol w:w="720"/>
        <w:gridCol w:w="660"/>
        <w:gridCol w:w="645"/>
        <w:gridCol w:w="645"/>
        <w:gridCol w:w="735"/>
        <w:gridCol w:w="855"/>
        <w:gridCol w:w="675"/>
        <w:gridCol w:w="660"/>
        <w:gridCol w:w="885"/>
        <w:gridCol w:w="900"/>
        <w:gridCol w:w="915"/>
        <w:gridCol w:w="675"/>
        <w:gridCol w:w="11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trPr>
        <w:tc>
          <w:tcPr>
            <w:tcW w:w="14610" w:type="dxa"/>
            <w:gridSpan w:val="18"/>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仲恺高新区公共照明设施分布统计表（中心区）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路名</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起点</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终点</w:t>
            </w:r>
          </w:p>
        </w:tc>
        <w:tc>
          <w:tcPr>
            <w:tcW w:w="855"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长度（m）</w:t>
            </w:r>
          </w:p>
        </w:tc>
        <w:tc>
          <w:tcPr>
            <w:tcW w:w="720"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灯头量</w:t>
            </w:r>
          </w:p>
        </w:tc>
        <w:tc>
          <w:tcPr>
            <w:tcW w:w="660" w:type="dxa"/>
            <w:tcBorders>
              <w:top w:val="single" w:color="000000" w:sz="4" w:space="0"/>
              <w:left w:val="nil"/>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灯杆量</w:t>
            </w:r>
          </w:p>
        </w:tc>
        <w:tc>
          <w:tcPr>
            <w:tcW w:w="64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安装高度(m)</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4米以下</w:t>
            </w: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4-10米（盏）</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10-15米（盏）</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15米灯（盏）</w:t>
            </w:r>
          </w:p>
        </w:tc>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挂壁灯（盏）</w:t>
            </w:r>
          </w:p>
        </w:tc>
        <w:tc>
          <w:tcPr>
            <w:tcW w:w="8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杆型</w:t>
            </w:r>
          </w:p>
        </w:tc>
        <w:tc>
          <w:tcPr>
            <w:tcW w:w="900" w:type="dxa"/>
            <w:vMerge w:val="restart"/>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采用灯具</w:t>
            </w:r>
          </w:p>
        </w:tc>
        <w:tc>
          <w:tcPr>
            <w:tcW w:w="915" w:type="dxa"/>
            <w:tcBorders>
              <w:top w:val="single" w:color="000000"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灯功率</w:t>
            </w:r>
          </w:p>
        </w:tc>
        <w:tc>
          <w:tcPr>
            <w:tcW w:w="675" w:type="dxa"/>
            <w:vMerge w:val="restart"/>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控制箱(台）</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（盏）</w:t>
            </w:r>
          </w:p>
        </w:tc>
        <w:tc>
          <w:tcPr>
            <w:tcW w:w="660" w:type="dxa"/>
            <w:tcBorders>
              <w:top w:val="nil"/>
              <w:left w:val="nil"/>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（杆）</w:t>
            </w:r>
          </w:p>
        </w:tc>
        <w:tc>
          <w:tcPr>
            <w:tcW w:w="64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w:t>
            </w:r>
          </w:p>
        </w:tc>
        <w:tc>
          <w:tcPr>
            <w:tcW w:w="675" w:type="dxa"/>
            <w:vMerge w:val="continue"/>
            <w:tcBorders>
              <w:top w:val="single" w:color="000000" w:sz="4" w:space="0"/>
              <w:left w:val="nil"/>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上横岭路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平南路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新塘路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2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60"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下横岭路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古湖路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高三/四臂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大岭南路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新塘路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大岭北路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平南路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下横岭路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平塘路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平南路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上横岭路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单臂路灯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2"/>
                <w:sz w:val="20"/>
                <w:szCs w:val="20"/>
                <w:u w:val="none"/>
                <w:lang w:val="en-US" w:eastAsia="zh-CN" w:bidi="ar-SA"/>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高杆4臂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新塘路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上横岭路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单臂路灯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单臂路灯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160W</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塘尾路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东星路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金湖路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高杆两臂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上横岭村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上横岭路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下横岭村</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东星路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下横岭路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平南立新小组</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平南立新小组</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挂臂灯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中星村松山下</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中星村松山下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中星社区红星小组</w:t>
            </w:r>
          </w:p>
        </w:tc>
        <w:tc>
          <w:tcPr>
            <w:tcW w:w="2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中星社区红星小组</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挂臂灯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129</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同心路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立新路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惠台路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立新路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高双低单臂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120*2/80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环星路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120*2</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160/60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120*3</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中洞路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惠盐高速桥</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星光路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惠台路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同心路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中星路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同心路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惠同路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同心路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西坑大道鸿运楼住宿附近街巷</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510</w:t>
            </w:r>
          </w:p>
        </w:tc>
        <w:tc>
          <w:tcPr>
            <w:tcW w:w="72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挂壁灯</w:t>
            </w:r>
          </w:p>
        </w:tc>
        <w:tc>
          <w:tcPr>
            <w:tcW w:w="90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西坑大道三协精密有限公司旁街巷</w:t>
            </w: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惠仲路长深高速桥下涵洞</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119</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惠环东升村</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中洞路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星光路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西坑大道</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人防基地</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惠环中学对面 （东升村委会）</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同乐路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惠同路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惠仲路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同顺路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中星路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同创路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同创路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同心路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惠台路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古塘坳立新一村</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古塘坳路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金恺大道</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古塘坳东风村</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东风村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古塘坳横街</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古塘坳路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古塘坳路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立新一村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3240" w:type="dxa"/>
            <w:gridSpan w:val="3"/>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古塘坳立新二村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3240" w:type="dxa"/>
            <w:gridSpan w:val="3"/>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449</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水边村与上欧村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下欧村与沙角头村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惠环市场高速桥洞</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滨河东路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惠盐高速</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柱灯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柱灯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滨河西路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惠盐高速</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柱灯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柱灯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和畅二路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476</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照树灯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和畅二路东升小组65号区</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和畅三路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惠风三路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和畅四路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三坳岭路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惠仲路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桥底挂壁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惠风九路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3555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478</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照树灯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top"/>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惠风一路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和畅四路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同心路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滨河西路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东星路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惠风二路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惠风三路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和畅二路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惠风三路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惠环第二小学</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群英幼儿园</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惠风四路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和畅一路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照树灯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马过渡河边</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照树灯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惠风九路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3648</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已接管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250/60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半高杆灯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红旗上坑村与下坑村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4515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155</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红旗上欧村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红旗水边村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红旗下欧村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红旗沙角头村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1434</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3240" w:type="dxa"/>
            <w:gridSpan w:val="3"/>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红旗赤岭下村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红旗村赤岭下村19号小区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惠风四路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金岭路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840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红旗村赤岭下村18号小区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惠风四路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赤岭村道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红旗村赤岭下村17号小区</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惠风四路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华星二路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立新路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惠台路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上欧路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洋里老村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和畅三路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和畅四路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洋里新村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和畅三路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和畅四路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松山下小组</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和畅一路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松阳路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荣欣路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和畅四路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15号支路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惠风五路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松阳路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惠风三路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松涛路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松祥路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松涛路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松林路</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松林路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松涛路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松祥路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松阳路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松泰路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和畅三路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松阳路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盛华路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上罗路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和畅七路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下罗路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惠风三路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惠风四路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华星一路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华星二路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华星三路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华星路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赤岭路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惠风五路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腾达路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金岭路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和畅三路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斜下路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高速路桥下</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中星社区</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三坳岭居民小组新村</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单盏壁灯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赤岭老村</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惠风四路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索尼桥洞</w:t>
            </w: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桥洞</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25号小区</w:t>
            </w:r>
          </w:p>
        </w:tc>
        <w:tc>
          <w:tcPr>
            <w:tcW w:w="2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水边村</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挂壁</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马过渡部队段</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金恺大道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金榜路万林湖交叉口</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仲恺惠风七路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3*100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吸顶灯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100/45</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3*210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金恺大道公园</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1370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草坪灯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仿宋_GB2312" w:hAnsi="宋体" w:eastAsia="仿宋_GB2312" w:cs="仿宋_GB2312"/>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庭院灯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91</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仲恺第六小学周边道路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马过渡河</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224</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LED截光</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60/40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环星路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四环路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4960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93</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惠环26号小区</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惠风五路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惠风六路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1537.5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59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壁灯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94</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惠风一路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惠风九路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5430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120/60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半高杆灯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200/60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预计2022年6月接管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半高杆灯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和畅七路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惠风九路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2166</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3*160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惠风五路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8133</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双臂钢杆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100/30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双臂钢杆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160/30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半高钢杆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3*180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观田路段</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惠风五路</w:t>
            </w:r>
          </w:p>
        </w:tc>
        <w:tc>
          <w:tcPr>
            <w:tcW w:w="108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w:t>
            </w: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100W/50W</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预计2022年9月接管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惠风五路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和畅二路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和畅七路</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131</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160"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TCL人行天桥</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吊顶</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支架</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和畅七路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956</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120/80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陈江大道北</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1340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预计2022年9月接管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100/60W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97</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惠风六路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和畅四路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陈江大道北</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626</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预计2022年9月接管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LED集成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1922</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92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250/60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0"/>
                <w:szCs w:val="20"/>
                <w:u w:val="none"/>
              </w:rPr>
            </w:pPr>
            <w:r>
              <w:rPr>
                <w:rFonts w:hint="default" w:ascii="仿宋_GB2312" w:hAnsi="宋体" w:eastAsia="仿宋_GB2312" w:cs="仿宋_GB2312"/>
                <w:i w:val="0"/>
                <w:color w:val="000000"/>
                <w:kern w:val="0"/>
                <w:sz w:val="20"/>
                <w:szCs w:val="20"/>
                <w:u w:val="none"/>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98</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0"/>
                <w:szCs w:val="20"/>
                <w:u w:val="none"/>
              </w:rPr>
            </w:pPr>
            <w:r>
              <w:rPr>
                <w:rFonts w:hint="default" w:ascii="Times New Roman" w:hAnsi="Times New Roman" w:eastAsia="宋体" w:cs="Times New Roman"/>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惠风七路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和畅二路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1710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高杆双臂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140"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高杆四臂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776</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照树灯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和畅二路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5535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154</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照树灯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预计2022年6月接管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default" w:ascii="Times New Roman" w:hAnsi="Times New Roman" w:eastAsia="宋体" w:cs="Times New Roman"/>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柱灯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LED光源</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99</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惠风八路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惠新大道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和畅五路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5234</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预计2022年7月接管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160/30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3*200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环星路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惠仲路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180/80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250/150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967.5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双挑高低杆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80/40</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预计2022年6月接管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101</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惠风三路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和畅六路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马过渡河</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150/60</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预计2022年7月接管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3x150W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102</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惠风东一路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惠风东一路</w:t>
            </w:r>
          </w:p>
        </w:tc>
        <w:tc>
          <w:tcPr>
            <w:tcW w:w="10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马过渡河</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516</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6m/8m</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30W+100W</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预计2022年9月接管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103</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西坑片区道路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三号主干道（西坑）</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4X120W</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预计2022年8月接管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40+80W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104</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和畅一路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惠风七路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仲恺大道</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892</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15/11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2X200+80W</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预计2022年8月接管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2X150+80W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4X200W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6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分计（2022.9.16后，管养27.5个月）</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160339</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11079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6065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2747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3204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3708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619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107</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105</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四环路南段</w:t>
            </w:r>
            <w:r>
              <w:rPr>
                <w:rFonts w:hint="eastAsia" w:ascii="宋体" w:hAnsi="宋体" w:eastAsia="宋体" w:cs="宋体"/>
                <w:i w:val="0"/>
                <w:color w:val="000000"/>
                <w:kern w:val="0"/>
                <w:sz w:val="20"/>
                <w:szCs w:val="20"/>
                <w:u w:val="none"/>
                <w:lang w:val="en-US" w:eastAsia="zh-CN" w:bidi="ar"/>
              </w:rPr>
              <w:br w:type="textWrapping"/>
            </w:r>
            <w:r>
              <w:rPr>
                <w:rFonts w:hint="eastAsia" w:ascii="宋体" w:hAnsi="宋体" w:eastAsia="宋体" w:cs="宋体"/>
                <w:i w:val="0"/>
                <w:color w:val="000000"/>
                <w:kern w:val="0"/>
                <w:sz w:val="20"/>
                <w:szCs w:val="20"/>
                <w:u w:val="none"/>
                <w:lang w:val="en-US" w:eastAsia="zh-CN" w:bidi="ar"/>
              </w:rPr>
              <w:t>（东线）支路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三号主干道（西坑）</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四环路南段</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3788</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120W</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预计2023年7月接管、主干道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3X200W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3X300W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106</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金泽.城南春天小区周边道路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意源路</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881</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高低臂</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80+30W</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预计2023年7月接管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3X80W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6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分计（2023.7后，管养17个月）</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4669</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229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178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77</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54</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107</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西坑工业区道路</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惠环大道</w:t>
            </w:r>
          </w:p>
        </w:tc>
        <w:tc>
          <w:tcPr>
            <w:tcW w:w="108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三号主干道（西坑）</w:t>
            </w:r>
          </w:p>
        </w:tc>
        <w:tc>
          <w:tcPr>
            <w:tcW w:w="85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2907</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w:t>
            </w:r>
          </w:p>
        </w:tc>
        <w:tc>
          <w:tcPr>
            <w:tcW w:w="675"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14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预计2024年10月接管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中杆灯</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40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高杆</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LED灯</w:t>
            </w: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3X100W</w:t>
            </w:r>
          </w:p>
        </w:tc>
        <w:tc>
          <w:tcPr>
            <w:tcW w:w="675"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114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6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分计（2024.10后，管养2个月）</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2907</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97</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89</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97</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0</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trPr>
        <w:tc>
          <w:tcPr>
            <w:tcW w:w="3645" w:type="dxa"/>
            <w:gridSpan w:val="4"/>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合计</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167915</w:t>
            </w:r>
          </w:p>
        </w:tc>
        <w:tc>
          <w:tcPr>
            <w:tcW w:w="7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11405</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6332</w:t>
            </w: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2747</w:t>
            </w:r>
          </w:p>
        </w:tc>
        <w:tc>
          <w:tcPr>
            <w:tcW w:w="7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3281</w:t>
            </w:r>
          </w:p>
        </w:tc>
        <w:tc>
          <w:tcPr>
            <w:tcW w:w="85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3903</w:t>
            </w: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673</w:t>
            </w:r>
          </w:p>
        </w:tc>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801</w:t>
            </w:r>
          </w:p>
        </w:tc>
        <w:tc>
          <w:tcPr>
            <w:tcW w:w="8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9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b/>
                <w:i w:val="0"/>
                <w:color w:val="000000"/>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111</w:t>
            </w:r>
          </w:p>
        </w:tc>
        <w:tc>
          <w:tcPr>
            <w:tcW w:w="114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r>
    </w:tbl>
    <w:p>
      <w:pPr>
        <w:pStyle w:val="2"/>
        <w:widowControl w:val="0"/>
        <w:numPr>
          <w:ilvl w:val="0"/>
          <w:numId w:val="0"/>
        </w:numPr>
        <w:spacing w:after="120"/>
        <w:jc w:val="both"/>
        <w:rPr>
          <w:rFonts w:hint="eastAsia" w:ascii="仿宋_GB2312" w:hAnsi="仿宋_GB2312" w:eastAsia="仿宋_GB2312" w:cs="仿宋_GB2312"/>
          <w:b/>
          <w:color w:val="212121"/>
          <w:spacing w:val="10"/>
          <w:kern w:val="2"/>
          <w:sz w:val="24"/>
          <w:szCs w:val="24"/>
          <w:lang w:val="en-US" w:eastAsia="zh-CN" w:bidi="ar-SA"/>
        </w:rPr>
      </w:pPr>
    </w:p>
    <w:p>
      <w:pPr>
        <w:pStyle w:val="2"/>
        <w:widowControl w:val="0"/>
        <w:numPr>
          <w:ilvl w:val="0"/>
          <w:numId w:val="0"/>
        </w:numPr>
        <w:spacing w:after="120"/>
        <w:jc w:val="both"/>
        <w:rPr>
          <w:rFonts w:hint="eastAsia" w:ascii="仿宋_GB2312" w:hAnsi="仿宋_GB2312" w:eastAsia="仿宋_GB2312" w:cs="仿宋_GB2312"/>
          <w:b/>
          <w:color w:val="212121"/>
          <w:spacing w:val="10"/>
          <w:kern w:val="2"/>
          <w:sz w:val="24"/>
          <w:szCs w:val="24"/>
          <w:lang w:val="en-US" w:eastAsia="zh-CN" w:bidi="ar-SA"/>
        </w:rPr>
        <w:sectPr>
          <w:footerReference r:id="rId3" w:type="default"/>
          <w:pgSz w:w="16838" w:h="11906" w:orient="landscape"/>
          <w:pgMar w:top="1587" w:right="2098" w:bottom="1417" w:left="1984" w:header="851" w:footer="992" w:gutter="0"/>
          <w:pgBorders>
            <w:top w:val="none" w:sz="0" w:space="0"/>
            <w:left w:val="none" w:sz="0" w:space="0"/>
            <w:bottom w:val="none" w:sz="0" w:space="0"/>
            <w:right w:val="none" w:sz="0" w:space="0"/>
          </w:pgBorders>
          <w:cols w:space="0" w:num="1"/>
          <w:rtlGutter w:val="0"/>
          <w:docGrid w:type="lines" w:linePitch="317" w:charSpace="0"/>
        </w:sectPr>
      </w:pPr>
      <w:bookmarkStart w:id="0" w:name="_GoBack"/>
      <w:bookmarkEnd w:id="0"/>
    </w:p>
    <w:p>
      <w:pPr>
        <w:pStyle w:val="2"/>
        <w:numPr>
          <w:ilvl w:val="0"/>
          <w:numId w:val="0"/>
        </w:numPr>
        <w:ind w:leftChars="0"/>
        <w:rPr>
          <w:rFonts w:hint="eastAsia" w:ascii="仿宋_GB2312" w:hAnsi="仿宋_GB2312" w:eastAsia="仿宋_GB2312" w:cs="仿宋_GB2312"/>
          <w:b/>
          <w:bCs/>
          <w:color w:val="FF0000"/>
          <w:kern w:val="2"/>
          <w:sz w:val="24"/>
          <w:szCs w:val="24"/>
          <w:highlight w:val="none"/>
          <w:lang w:val="en-US" w:eastAsia="zh-CN" w:bidi="ar-SA"/>
        </w:rPr>
      </w:pPr>
    </w:p>
    <w:sectPr>
      <w:pgSz w:w="11906" w:h="16838"/>
      <w:pgMar w:top="2098" w:right="1417" w:bottom="1984" w:left="1587"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JmMmUzMzY1YmM4MTJkYzQxZDI4YTdhYjI4NmI3MzQifQ=="/>
  </w:docVars>
  <w:rsids>
    <w:rsidRoot w:val="5B7D4C89"/>
    <w:rsid w:val="00317125"/>
    <w:rsid w:val="055F7DBE"/>
    <w:rsid w:val="076D1DAB"/>
    <w:rsid w:val="08071842"/>
    <w:rsid w:val="08F22F5E"/>
    <w:rsid w:val="09BB003F"/>
    <w:rsid w:val="0D1B61C9"/>
    <w:rsid w:val="0DFB66E5"/>
    <w:rsid w:val="11561F66"/>
    <w:rsid w:val="19BD3723"/>
    <w:rsid w:val="1C204F5F"/>
    <w:rsid w:val="1D696583"/>
    <w:rsid w:val="22586A51"/>
    <w:rsid w:val="25497EB4"/>
    <w:rsid w:val="2C5C403E"/>
    <w:rsid w:val="2C673E7E"/>
    <w:rsid w:val="306E2E9B"/>
    <w:rsid w:val="30C71C5F"/>
    <w:rsid w:val="3213012D"/>
    <w:rsid w:val="322210D6"/>
    <w:rsid w:val="36203EF8"/>
    <w:rsid w:val="374921E1"/>
    <w:rsid w:val="3DCE2EE5"/>
    <w:rsid w:val="42610D2E"/>
    <w:rsid w:val="429F6F50"/>
    <w:rsid w:val="438B17B3"/>
    <w:rsid w:val="43A7536F"/>
    <w:rsid w:val="48986744"/>
    <w:rsid w:val="49D777EA"/>
    <w:rsid w:val="4A36221F"/>
    <w:rsid w:val="4B3519EF"/>
    <w:rsid w:val="4FDC5892"/>
    <w:rsid w:val="500953A3"/>
    <w:rsid w:val="508825A3"/>
    <w:rsid w:val="50CB2DD4"/>
    <w:rsid w:val="5558730C"/>
    <w:rsid w:val="5B7D4C89"/>
    <w:rsid w:val="5CF21D38"/>
    <w:rsid w:val="64EC1FFA"/>
    <w:rsid w:val="64F2762A"/>
    <w:rsid w:val="65D9682D"/>
    <w:rsid w:val="6A0C5B64"/>
    <w:rsid w:val="71B018DC"/>
    <w:rsid w:val="7408583D"/>
    <w:rsid w:val="7BFE466A"/>
    <w:rsid w:val="7CB5707F"/>
    <w:rsid w:val="7F3A75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FollowedHyperlink"/>
    <w:basedOn w:val="9"/>
    <w:qFormat/>
    <w:uiPriority w:val="0"/>
    <w:rPr>
      <w:color w:val="800080"/>
      <w:u w:val="single"/>
    </w:rPr>
  </w:style>
  <w:style w:type="paragraph" w:customStyle="1" w:styleId="11">
    <w:name w:val="Table Paragraph"/>
    <w:basedOn w:val="1"/>
    <w:qFormat/>
    <w:uiPriority w:val="1"/>
    <w:rPr>
      <w:rFonts w:ascii="宋体" w:hAnsi="宋体" w:eastAsia="宋体" w:cs="宋体"/>
      <w:lang w:val="zh-CN" w:eastAsia="zh-CN" w:bidi="zh-CN"/>
    </w:rPr>
  </w:style>
  <w:style w:type="paragraph" w:styleId="12">
    <w:name w:val="List Paragraph"/>
    <w:basedOn w:val="1"/>
    <w:qFormat/>
    <w:uiPriority w:val="1"/>
    <w:pPr>
      <w:spacing w:before="110"/>
      <w:ind w:left="290" w:hanging="173"/>
    </w:pPr>
    <w:rPr>
      <w:rFonts w:ascii="宋体" w:hAnsi="宋体" w:eastAsia="宋体" w:cs="宋体"/>
      <w:lang w:val="zh-CN" w:eastAsia="zh-CN" w:bidi="zh-CN"/>
    </w:rPr>
  </w:style>
  <w:style w:type="paragraph" w:customStyle="1" w:styleId="13">
    <w:name w:val="正文 New New New New New New New New New New New New New New New"/>
    <w:qFormat/>
    <w:uiPriority w:val="0"/>
    <w:pPr>
      <w:widowControl w:val="0"/>
      <w:jc w:val="both"/>
    </w:pPr>
    <w:rPr>
      <w:rFonts w:ascii="Calibri" w:hAnsi="Calibri" w:eastAsia="宋体" w:cs="Calibri"/>
      <w:kern w:val="2"/>
      <w:sz w:val="21"/>
      <w:szCs w:val="21"/>
      <w:lang w:val="en-US" w:eastAsia="zh-CN" w:bidi="ar-SA"/>
    </w:rPr>
  </w:style>
  <w:style w:type="paragraph" w:customStyle="1" w:styleId="14">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正文 New"/>
    <w:qFormat/>
    <w:uiPriority w:val="0"/>
    <w:pPr>
      <w:widowControl w:val="0"/>
      <w:jc w:val="both"/>
    </w:pPr>
    <w:rPr>
      <w:rFonts w:ascii="Calibri" w:hAnsi="Calibri" w:eastAsia="宋体" w:cs="Times New Roman"/>
      <w:szCs w:val="24"/>
      <w:lang w:val="en-US" w:eastAsia="zh-CN" w:bidi="ar-SA"/>
    </w:rPr>
  </w:style>
  <w:style w:type="character" w:customStyle="1" w:styleId="17">
    <w:name w:val="font11"/>
    <w:basedOn w:val="9"/>
    <w:qFormat/>
    <w:uiPriority w:val="0"/>
    <w:rPr>
      <w:rFonts w:hint="eastAsia" w:ascii="宋体" w:hAnsi="宋体" w:eastAsia="宋体" w:cs="宋体"/>
      <w:color w:val="000000"/>
      <w:sz w:val="18"/>
      <w:szCs w:val="18"/>
      <w:u w:val="none"/>
    </w:rPr>
  </w:style>
  <w:style w:type="character" w:customStyle="1" w:styleId="18">
    <w:name w:val="font61"/>
    <w:basedOn w:val="9"/>
    <w:qFormat/>
    <w:uiPriority w:val="0"/>
    <w:rPr>
      <w:rFonts w:hint="default" w:ascii="仿宋_GB2312" w:eastAsia="仿宋_GB2312" w:cs="仿宋_GB2312"/>
      <w:color w:val="000000"/>
      <w:sz w:val="16"/>
      <w:szCs w:val="16"/>
      <w:u w:val="none"/>
    </w:rPr>
  </w:style>
  <w:style w:type="character" w:customStyle="1" w:styleId="19">
    <w:name w:val="font71"/>
    <w:basedOn w:val="9"/>
    <w:qFormat/>
    <w:uiPriority w:val="0"/>
    <w:rPr>
      <w:rFonts w:hint="default" w:ascii="仿宋_GB2312" w:eastAsia="仿宋_GB2312" w:cs="仿宋_GB2312"/>
      <w:color w:val="000000"/>
      <w:sz w:val="15"/>
      <w:szCs w:val="15"/>
      <w:u w:val="none"/>
    </w:rPr>
  </w:style>
  <w:style w:type="character" w:customStyle="1" w:styleId="20">
    <w:name w:val="font41"/>
    <w:basedOn w:val="9"/>
    <w:qFormat/>
    <w:uiPriority w:val="0"/>
    <w:rPr>
      <w:rFonts w:hint="default"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仲恺区公共资源交易中心</Company>
  <Pages>61</Pages>
  <Words>29258</Words>
  <Characters>33590</Characters>
  <Lines>0</Lines>
  <Paragraphs>0</Paragraphs>
  <TotalTime>8</TotalTime>
  <ScaleCrop>false</ScaleCrop>
  <LinksUpToDate>false</LinksUpToDate>
  <CharactersWithSpaces>35090</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2021-11-15T01:08:00Z</dcterms:created>
  <dc:creator>Yufi</dc:creator>
  <cp:lastModifiedBy>86150</cp:lastModifiedBy>
  <cp:lastPrinted>2022-06-09T01:23:00Z</cp:lastPrinted>
  <dcterms:modified xsi:type="dcterms:W3CDTF">2022-06-22T13:36:59Z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y fmtid="{D5CDD505-2E9C-101B-9397-08002B2CF9AE}" pid="3" name="ICV">
    <vt:lpwstr>CD6C2ED0E7CE42B8A0BCA3814EDFD2CD</vt:lpwstr>
  </property>
</Properties>
</file>