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云浮市田家炳学校新建教学楼设备设施建设</w:t>
      </w:r>
    </w:p>
    <w:p>
      <w:pPr>
        <w:jc w:val="center"/>
        <w:rPr>
          <w:rFonts w:hint="eastAsia"/>
          <w:b/>
          <w:bCs/>
          <w:sz w:val="32"/>
          <w:szCs w:val="32"/>
          <w:lang w:val="en-US" w:eastAsia="zh-CN"/>
        </w:rPr>
      </w:pPr>
      <w:r>
        <w:rPr>
          <w:rFonts w:hint="eastAsia"/>
          <w:b/>
          <w:bCs/>
          <w:sz w:val="32"/>
          <w:szCs w:val="32"/>
          <w:lang w:val="en-US" w:eastAsia="zh-CN"/>
        </w:rPr>
        <w:t>变更说明</w:t>
      </w:r>
    </w:p>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各投标人：</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云浮市田家炳学校新建教学楼设备设施建设招标文件中：</w:t>
      </w:r>
    </w:p>
    <w:p>
      <w:pPr>
        <w:pStyle w:val="2"/>
        <w:ind w:firstLine="522"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第二部分采购项目内容“（二）设备规格及参数要求”</w:t>
      </w: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bookmarkStart w:id="0" w:name="_GoBack"/>
      <w:bookmarkEnd w:id="0"/>
      <w:r>
        <w:rPr>
          <w:rFonts w:hint="eastAsia" w:ascii="宋体" w:hAnsi="宋体" w:eastAsia="宋体" w:cs="宋体"/>
          <w:b/>
          <w:bCs/>
          <w:sz w:val="24"/>
          <w:szCs w:val="24"/>
          <w:lang w:val="en-US" w:eastAsia="zh-CN"/>
        </w:rPr>
        <w:t>原：学生课桌椅原招标参数：</w:t>
      </w:r>
    </w:p>
    <w:p>
      <w:pP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规格：600×400×670mm</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材料及技术说明</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桌面：PP塑料包边中纤板一次注塑成型40×60×1.8cm</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凳面：PP塑料包边中纤板一次注塑成型，34×24×1.8cm</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脚架：采用优质钢管，20×49×1.0mm规格椭圆管</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课桌斗侧板：采用优质铁板冲压件0.9mm厚</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课桌斗：规格490×345×170mm采用优质铁板冲压件0.7mm厚，</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凳子升降片：采用优质铁板冲压件1.0mm厚</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焊接：二氧化碳保护焊，平整牢固</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以上金属件经除油、除锈、酸洗、磷化清洗，抛丸机抛光处理后进行表面流水线静电喷塑。</w:t>
      </w:r>
    </w:p>
    <w:p>
      <w:pPr>
        <w:pStyle w:val="2"/>
        <w:rPr>
          <w:rFonts w:hint="eastAsia" w:ascii="宋体" w:hAnsi="宋体" w:eastAsia="宋体" w:cs="宋体"/>
          <w:sz w:val="24"/>
          <w:szCs w:val="24"/>
          <w:lang w:val="en-US" w:eastAsia="zh-CN"/>
        </w:rPr>
      </w:pPr>
      <w:r>
        <w:rPr>
          <w:rFonts w:hint="eastAsia" w:ascii="宋体" w:hAnsi="宋体" w:eastAsia="宋体" w:cs="宋体"/>
          <w:i w:val="0"/>
          <w:iCs w:val="0"/>
          <w:color w:val="auto"/>
          <w:kern w:val="0"/>
          <w:sz w:val="24"/>
          <w:szCs w:val="24"/>
          <w:u w:val="none"/>
          <w:lang w:val="en-US" w:eastAsia="zh-CN" w:bidi="ar"/>
        </w:rPr>
        <w:t>现变更为：</w:t>
      </w:r>
    </w:p>
    <w:p>
      <w:pPr>
        <w:jc w:val="left"/>
        <w:rPr>
          <w:rFonts w:hint="eastAsia" w:ascii="宋体" w:hAnsi="宋体" w:eastAsia="宋体" w:cs="宋体"/>
          <w:sz w:val="24"/>
          <w:szCs w:val="24"/>
        </w:rPr>
      </w:pPr>
      <w:r>
        <w:rPr>
          <w:rFonts w:hint="eastAsia" w:ascii="宋体" w:hAnsi="宋体" w:eastAsia="宋体" w:cs="宋体"/>
          <w:sz w:val="24"/>
          <w:szCs w:val="24"/>
        </w:rPr>
        <w:t>一、单人课桌椅（每套包含课桌并配套单人椅1张）</w:t>
      </w:r>
    </w:p>
    <w:p>
      <w:pPr>
        <w:jc w:val="left"/>
        <w:rPr>
          <w:rFonts w:hint="eastAsia" w:ascii="宋体" w:hAnsi="宋体" w:eastAsia="宋体" w:cs="宋体"/>
          <w:sz w:val="24"/>
          <w:szCs w:val="24"/>
        </w:rPr>
      </w:pPr>
      <w:r>
        <w:rPr>
          <w:rFonts w:hint="eastAsia" w:ascii="宋体" w:hAnsi="宋体" w:eastAsia="宋体" w:cs="宋体"/>
          <w:sz w:val="24"/>
          <w:szCs w:val="24"/>
        </w:rPr>
        <w:t>二、型号规格要求</w:t>
      </w:r>
    </w:p>
    <w:p>
      <w:pPr>
        <w:jc w:val="left"/>
        <w:rPr>
          <w:rFonts w:hint="eastAsia" w:ascii="宋体" w:hAnsi="宋体" w:eastAsia="宋体" w:cs="宋体"/>
          <w:sz w:val="24"/>
          <w:szCs w:val="24"/>
        </w:rPr>
      </w:pPr>
      <w:r>
        <w:rPr>
          <w:rFonts w:hint="eastAsia" w:ascii="宋体" w:hAnsi="宋体" w:eastAsia="宋体" w:cs="宋体"/>
          <w:sz w:val="24"/>
          <w:szCs w:val="24"/>
        </w:rPr>
        <w:t>（一）课桌椅的型号规格及结构应符合国家标准要求。</w:t>
      </w:r>
    </w:p>
    <w:p>
      <w:pPr>
        <w:jc w:val="left"/>
        <w:rPr>
          <w:rFonts w:hint="eastAsia" w:ascii="宋体" w:hAnsi="宋体" w:eastAsia="宋体" w:cs="宋体"/>
          <w:sz w:val="24"/>
          <w:szCs w:val="24"/>
        </w:rPr>
      </w:pPr>
      <w:r>
        <w:rPr>
          <w:rFonts w:hint="eastAsia" w:ascii="宋体" w:hAnsi="宋体" w:eastAsia="宋体" w:cs="宋体"/>
          <w:sz w:val="24"/>
          <w:szCs w:val="24"/>
        </w:rPr>
        <w:t>（二）课桌：各型号规格的尺寸应符合国家标准QB/T4071-2010《课桌椅》的规定。在课桌左右两侧面设置挂书包的挂钩，其尺寸范围不能超出国家标准的规定范围。</w:t>
      </w:r>
    </w:p>
    <w:p>
      <w:pPr>
        <w:jc w:val="left"/>
        <w:rPr>
          <w:rFonts w:hint="eastAsia" w:ascii="宋体" w:hAnsi="宋体" w:eastAsia="宋体" w:cs="宋体"/>
          <w:sz w:val="24"/>
          <w:szCs w:val="24"/>
        </w:rPr>
      </w:pPr>
      <w:r>
        <w:rPr>
          <w:rFonts w:hint="eastAsia" w:ascii="宋体" w:hAnsi="宋体" w:eastAsia="宋体" w:cs="宋体"/>
          <w:sz w:val="24"/>
          <w:szCs w:val="24"/>
        </w:rPr>
        <w:t>（三）课椅：各型号规格的尺寸应符合国家标准QB/T4071-2010《课桌椅》的规定。在课椅靠背的后面设置挂书包的挂钩。</w:t>
      </w:r>
    </w:p>
    <w:p>
      <w:pPr>
        <w:jc w:val="left"/>
        <w:rPr>
          <w:rFonts w:hint="eastAsia" w:ascii="宋体" w:hAnsi="宋体" w:eastAsia="宋体" w:cs="宋体"/>
          <w:sz w:val="24"/>
          <w:szCs w:val="24"/>
        </w:rPr>
      </w:pPr>
      <w:r>
        <w:rPr>
          <w:rFonts w:hint="eastAsia" w:ascii="宋体" w:hAnsi="宋体" w:eastAsia="宋体" w:cs="宋体"/>
          <w:sz w:val="24"/>
          <w:szCs w:val="24"/>
        </w:rPr>
        <w:t>(四)型号规格</w:t>
      </w:r>
    </w:p>
    <w:p>
      <w:pPr>
        <w:jc w:val="left"/>
        <w:rPr>
          <w:rFonts w:hint="eastAsia" w:ascii="宋体" w:hAnsi="宋体" w:eastAsia="宋体" w:cs="宋体"/>
          <w:sz w:val="24"/>
          <w:szCs w:val="24"/>
        </w:rPr>
      </w:pPr>
      <w:r>
        <w:rPr>
          <w:rFonts w:hint="eastAsia" w:ascii="宋体" w:hAnsi="宋体" w:eastAsia="宋体" w:cs="宋体"/>
          <w:sz w:val="24"/>
          <w:szCs w:val="24"/>
        </w:rPr>
        <w:t>4号课桌椅（670mm×600mm×400mm）；</w:t>
      </w:r>
    </w:p>
    <w:p>
      <w:pPr>
        <w:jc w:val="left"/>
        <w:rPr>
          <w:rFonts w:hint="eastAsia" w:ascii="宋体" w:hAnsi="宋体" w:eastAsia="宋体" w:cs="宋体"/>
          <w:sz w:val="24"/>
          <w:szCs w:val="24"/>
        </w:rPr>
      </w:pPr>
      <w:r>
        <w:rPr>
          <w:rFonts w:hint="eastAsia" w:ascii="宋体" w:hAnsi="宋体" w:eastAsia="宋体" w:cs="宋体"/>
          <w:sz w:val="24"/>
          <w:szCs w:val="24"/>
        </w:rPr>
        <w:t>三、课桌椅的材料要求</w:t>
      </w:r>
    </w:p>
    <w:p>
      <w:pPr>
        <w:jc w:val="left"/>
        <w:rPr>
          <w:rFonts w:hint="eastAsia" w:ascii="宋体" w:hAnsi="宋体" w:eastAsia="宋体" w:cs="宋体"/>
          <w:sz w:val="24"/>
          <w:szCs w:val="24"/>
        </w:rPr>
      </w:pPr>
      <w:r>
        <w:rPr>
          <w:rFonts w:hint="eastAsia" w:ascii="宋体" w:hAnsi="宋体" w:eastAsia="宋体" w:cs="宋体"/>
          <w:sz w:val="24"/>
          <w:szCs w:val="24"/>
        </w:rPr>
        <w:t>（一）金属件</w:t>
      </w:r>
    </w:p>
    <w:p>
      <w:pPr>
        <w:jc w:val="left"/>
        <w:rPr>
          <w:rFonts w:hint="eastAsia" w:ascii="宋体" w:hAnsi="宋体" w:eastAsia="宋体" w:cs="宋体"/>
          <w:sz w:val="24"/>
          <w:szCs w:val="24"/>
        </w:rPr>
      </w:pPr>
      <w:r>
        <w:rPr>
          <w:rFonts w:hint="eastAsia" w:ascii="宋体" w:hAnsi="宋体" w:eastAsia="宋体" w:cs="宋体"/>
          <w:sz w:val="24"/>
          <w:szCs w:val="24"/>
        </w:rPr>
        <w:t>1、主体材料：课桌、课椅的金属管件采用公称尺寸不小于20mm×40mm的椭圆管整体弯制成形，管壁公称厚度均不小于1mm，管材采用高频焊接而成。课桌的桌斗用公称厚度不小于0.5mm的优质冷轧钢板；桌斗托杆采用公称尺寸20mm×20mm或20mm×15mm的矩形管，管壁公称厚度均不小于1mm。课桌和课椅的挂钩采用公称直径不小于Φ4mm的冷拉普通钢丝制作。</w:t>
      </w:r>
    </w:p>
    <w:p>
      <w:pPr>
        <w:jc w:val="left"/>
        <w:rPr>
          <w:rFonts w:hint="eastAsia" w:ascii="宋体" w:hAnsi="宋体" w:eastAsia="宋体" w:cs="宋体"/>
          <w:sz w:val="24"/>
          <w:szCs w:val="24"/>
        </w:rPr>
      </w:pPr>
      <w:r>
        <w:rPr>
          <w:rFonts w:hint="eastAsia" w:ascii="宋体" w:hAnsi="宋体" w:eastAsia="宋体" w:cs="宋体"/>
          <w:sz w:val="24"/>
          <w:szCs w:val="24"/>
        </w:rPr>
        <w:t>2、材料质量：金属管件外形的尺寸偏差、管壁厚度偏差和钢板厚度偏差以及金属材料的力学性能指标等质量技术参数，均应符合相应的国家标准的规定。金属件材质及缺陷应符合轻工行业标准GB/T3325-2017《金属家具通用技术条件》的规定。不允许使用出现裂缝、开裂、起皱、鼓泡、龟裂、露底、剥落、生锈、变色等影响产品结构安全性、表面理化性能和力学性能的材料。</w:t>
      </w:r>
    </w:p>
    <w:p>
      <w:pPr>
        <w:jc w:val="left"/>
        <w:rPr>
          <w:rFonts w:hint="eastAsia" w:ascii="宋体" w:hAnsi="宋体" w:eastAsia="宋体" w:cs="宋体"/>
          <w:sz w:val="24"/>
          <w:szCs w:val="24"/>
        </w:rPr>
      </w:pPr>
      <w:r>
        <w:rPr>
          <w:rFonts w:hint="eastAsia" w:ascii="宋体" w:hAnsi="宋体" w:eastAsia="宋体" w:cs="宋体"/>
          <w:sz w:val="24"/>
          <w:szCs w:val="24"/>
        </w:rPr>
        <w:t>（二）木制件</w:t>
      </w:r>
    </w:p>
    <w:p>
      <w:pPr>
        <w:jc w:val="left"/>
        <w:rPr>
          <w:rFonts w:hint="eastAsia" w:ascii="宋体" w:hAnsi="宋体" w:eastAsia="宋体" w:cs="宋体"/>
          <w:sz w:val="24"/>
          <w:szCs w:val="24"/>
        </w:rPr>
      </w:pPr>
      <w:r>
        <w:rPr>
          <w:rFonts w:hint="eastAsia" w:ascii="宋体" w:hAnsi="宋体" w:eastAsia="宋体" w:cs="宋体"/>
          <w:sz w:val="24"/>
          <w:szCs w:val="24"/>
        </w:rPr>
        <w:t>1、主体材料：桌面主体采用公称厚度不小于17mm，甲醛释放量不大于E1级的9层（或9层以上）普通胶合板。椅座面及靠背面主体采用公称厚度不小于9mm，甲醛释放量不大于E1级的7层（或7层以上）普通胶合板。胶合板外表面装饰层（上下两面）采用接近天然木色的木纹贴面防火板。</w:t>
      </w:r>
    </w:p>
    <w:p>
      <w:pPr>
        <w:jc w:val="left"/>
        <w:rPr>
          <w:rFonts w:hint="eastAsia" w:ascii="宋体" w:hAnsi="宋体" w:eastAsia="宋体" w:cs="宋体"/>
          <w:sz w:val="24"/>
          <w:szCs w:val="24"/>
        </w:rPr>
      </w:pPr>
      <w:r>
        <w:rPr>
          <w:rFonts w:hint="eastAsia" w:ascii="宋体" w:hAnsi="宋体" w:eastAsia="宋体" w:cs="宋体"/>
          <w:sz w:val="24"/>
          <w:szCs w:val="24"/>
        </w:rPr>
        <w:t>2、材料质量：桌面椅面板的质量应符合轻工行业标准QB/T4071-2010《课桌椅》相应的规定要求，胶合板的胶合强度指标值不小于0.70兆帕。不允许使用有裂缝、开裂、起皱、鼓泡、龟裂、露底、剥落、变色等影响产品结构强度和外观的材料。</w:t>
      </w:r>
    </w:p>
    <w:p>
      <w:pPr>
        <w:jc w:val="left"/>
        <w:rPr>
          <w:rFonts w:hint="eastAsia" w:ascii="宋体" w:hAnsi="宋体" w:eastAsia="宋体" w:cs="宋体"/>
          <w:sz w:val="24"/>
          <w:szCs w:val="24"/>
        </w:rPr>
      </w:pPr>
      <w:r>
        <w:rPr>
          <w:rFonts w:hint="eastAsia" w:ascii="宋体" w:hAnsi="宋体" w:eastAsia="宋体" w:cs="宋体"/>
          <w:sz w:val="24"/>
          <w:szCs w:val="24"/>
        </w:rPr>
        <w:t>3、甲醛释放量：课桌椅甲醛释放量≤1.5。</w:t>
      </w:r>
    </w:p>
    <w:p>
      <w:pPr>
        <w:jc w:val="left"/>
        <w:rPr>
          <w:rFonts w:hint="eastAsia" w:ascii="宋体" w:hAnsi="宋体" w:eastAsia="宋体" w:cs="宋体"/>
          <w:sz w:val="24"/>
          <w:szCs w:val="24"/>
        </w:rPr>
      </w:pPr>
      <w:r>
        <w:rPr>
          <w:rFonts w:hint="eastAsia" w:ascii="宋体" w:hAnsi="宋体" w:eastAsia="宋体" w:cs="宋体"/>
          <w:sz w:val="24"/>
          <w:szCs w:val="24"/>
        </w:rPr>
        <w:t>（三）其它材料</w:t>
      </w:r>
    </w:p>
    <w:p>
      <w:pPr>
        <w:jc w:val="left"/>
        <w:rPr>
          <w:rFonts w:hint="eastAsia" w:ascii="宋体" w:hAnsi="宋体" w:eastAsia="宋体" w:cs="宋体"/>
          <w:sz w:val="24"/>
          <w:szCs w:val="24"/>
        </w:rPr>
      </w:pPr>
      <w:r>
        <w:rPr>
          <w:rFonts w:hint="eastAsia" w:ascii="宋体" w:hAnsi="宋体" w:eastAsia="宋体" w:cs="宋体"/>
          <w:sz w:val="24"/>
          <w:szCs w:val="24"/>
        </w:rPr>
        <w:t>桌脚和椅脚的脚套为内嵌式黑色脚套，采用超高分子量PE材料制作，壁厚不小于2mm,底厚不小于5mm；进深不小于20mm，加强筋不少于3圈,加强筋厚度不小于1.2mm，底面直径不小于22mm×42mm,脚套与桌脚和椅脚应结合紧密，牢靠，不脱落。建议：加强筋内径不小于18mm×38mm，加强筋外径不小于21mm×41mm，桌椅脚套应符合GB/T32487-2016《塑料家具通用技术条件》、GB284812012《塑料家具中有害物质限量》的规定。</w:t>
      </w:r>
    </w:p>
    <w:p>
      <w:pPr>
        <w:jc w:val="left"/>
        <w:rPr>
          <w:rFonts w:hint="eastAsia" w:ascii="宋体" w:hAnsi="宋体" w:eastAsia="宋体" w:cs="宋体"/>
          <w:sz w:val="24"/>
          <w:szCs w:val="24"/>
        </w:rPr>
      </w:pPr>
      <w:r>
        <w:rPr>
          <w:rFonts w:hint="eastAsia" w:ascii="宋体" w:hAnsi="宋体" w:eastAsia="宋体" w:cs="宋体"/>
          <w:sz w:val="24"/>
          <w:szCs w:val="24"/>
        </w:rPr>
        <w:t>四、课桌椅的加工要求</w:t>
      </w:r>
    </w:p>
    <w:p>
      <w:pPr>
        <w:jc w:val="left"/>
        <w:rPr>
          <w:rFonts w:hint="eastAsia" w:ascii="宋体" w:hAnsi="宋体" w:eastAsia="宋体" w:cs="宋体"/>
          <w:sz w:val="24"/>
          <w:szCs w:val="24"/>
        </w:rPr>
      </w:pPr>
      <w:r>
        <w:rPr>
          <w:rFonts w:hint="eastAsia" w:ascii="宋体" w:hAnsi="宋体" w:eastAsia="宋体" w:cs="宋体"/>
          <w:sz w:val="24"/>
          <w:szCs w:val="24"/>
        </w:rPr>
        <w:t>（一）金属件加工要求</w:t>
      </w:r>
    </w:p>
    <w:p>
      <w:pPr>
        <w:jc w:val="left"/>
        <w:rPr>
          <w:rFonts w:hint="eastAsia" w:ascii="宋体" w:hAnsi="宋体" w:eastAsia="宋体" w:cs="宋体"/>
          <w:sz w:val="24"/>
          <w:szCs w:val="24"/>
        </w:rPr>
      </w:pPr>
      <w:r>
        <w:rPr>
          <w:rFonts w:hint="eastAsia" w:ascii="宋体" w:hAnsi="宋体" w:eastAsia="宋体" w:cs="宋体"/>
          <w:sz w:val="24"/>
          <w:szCs w:val="24"/>
        </w:rPr>
        <w:t>1、金属件外观、加工要求等按照轻工行业标准QB/T4071-2010《课桌椅》的规定执行。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2、管材应无裂缝、叠缝。外露管口端面应封闭。</w:t>
      </w:r>
    </w:p>
    <w:p>
      <w:pPr>
        <w:jc w:val="left"/>
        <w:rPr>
          <w:rFonts w:hint="eastAsia" w:ascii="宋体" w:hAnsi="宋体" w:eastAsia="宋体" w:cs="宋体"/>
          <w:sz w:val="24"/>
          <w:szCs w:val="24"/>
        </w:rPr>
      </w:pPr>
      <w:r>
        <w:rPr>
          <w:rFonts w:hint="eastAsia" w:ascii="宋体" w:hAnsi="宋体" w:eastAsia="宋体" w:cs="宋体"/>
          <w:sz w:val="24"/>
          <w:szCs w:val="24"/>
        </w:rPr>
        <w:t>3、金属零、部件的连接方式采取铆钉连接（铆接）和螺钉连接。桌斗钢板焊接后金属件间接触面的分缝应不大于1mm，桌斗钢板与桌斗托杆的焊点间距不大于100mm。此外其他焊接件之间的连接部分均应全部焊接（结构不需要时除外），不允许漏焊。焊接件焊接时采用二氧化碳保护焊接。焊接件焊接处应无脱焊、虚焊、焊穿、错位；焊接处应无夹渣、气孔、焊瘤、焊丝头、咬边、飞溅；焊疤表面波纹应均匀、高低之差应不大于1mm。焊接后须经打磨处理。</w:t>
      </w:r>
    </w:p>
    <w:p>
      <w:pPr>
        <w:jc w:val="left"/>
        <w:rPr>
          <w:rFonts w:hint="eastAsia" w:ascii="宋体" w:hAnsi="宋体" w:eastAsia="宋体" w:cs="宋体"/>
          <w:sz w:val="24"/>
          <w:szCs w:val="24"/>
        </w:rPr>
      </w:pPr>
      <w:r>
        <w:rPr>
          <w:rFonts w:hint="eastAsia" w:ascii="宋体" w:hAnsi="宋体" w:eastAsia="宋体" w:cs="宋体"/>
          <w:sz w:val="24"/>
          <w:szCs w:val="24"/>
        </w:rPr>
        <w:t>4、冲压件应无脱层、裂缝。桌斗端口作折边压贴，桌斗前端靠托杆处冲压出不少于两条下凹的加强筋以增强桌斗刚性。</w:t>
      </w:r>
    </w:p>
    <w:p>
      <w:pPr>
        <w:jc w:val="left"/>
        <w:rPr>
          <w:rFonts w:hint="eastAsia" w:ascii="宋体" w:hAnsi="宋体" w:eastAsia="宋体" w:cs="宋体"/>
          <w:sz w:val="24"/>
          <w:szCs w:val="24"/>
        </w:rPr>
      </w:pPr>
      <w:r>
        <w:rPr>
          <w:rFonts w:hint="eastAsia" w:ascii="宋体" w:hAnsi="宋体" w:eastAsia="宋体" w:cs="宋体"/>
          <w:sz w:val="24"/>
          <w:szCs w:val="24"/>
        </w:rPr>
        <w:t>（二）木制件加工要求</w:t>
      </w:r>
    </w:p>
    <w:p>
      <w:pPr>
        <w:jc w:val="left"/>
        <w:rPr>
          <w:rFonts w:hint="eastAsia" w:ascii="宋体" w:hAnsi="宋体" w:eastAsia="宋体" w:cs="宋体"/>
          <w:sz w:val="24"/>
          <w:szCs w:val="24"/>
        </w:rPr>
      </w:pPr>
      <w:r>
        <w:rPr>
          <w:rFonts w:hint="eastAsia" w:ascii="宋体" w:hAnsi="宋体" w:eastAsia="宋体" w:cs="宋体"/>
          <w:sz w:val="24"/>
          <w:szCs w:val="24"/>
        </w:rPr>
        <w:t>1、课桌椅木制件的外观要求等按照轻工行业标准QB/T4071-2010《课桌椅》的规定执行。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2、木制件端面应进行精加工以便于涂饰处理。</w:t>
      </w:r>
    </w:p>
    <w:p>
      <w:pPr>
        <w:jc w:val="left"/>
        <w:rPr>
          <w:rFonts w:hint="eastAsia" w:ascii="宋体" w:hAnsi="宋体" w:eastAsia="宋体" w:cs="宋体"/>
          <w:sz w:val="24"/>
          <w:szCs w:val="24"/>
        </w:rPr>
      </w:pPr>
      <w:r>
        <w:rPr>
          <w:rFonts w:hint="eastAsia" w:ascii="宋体" w:hAnsi="宋体" w:eastAsia="宋体" w:cs="宋体"/>
          <w:sz w:val="24"/>
          <w:szCs w:val="24"/>
        </w:rPr>
        <w:t>（三）木制件与金属件的连接</w:t>
      </w:r>
    </w:p>
    <w:p>
      <w:pPr>
        <w:jc w:val="left"/>
        <w:rPr>
          <w:rFonts w:hint="eastAsia" w:ascii="宋体" w:hAnsi="宋体" w:eastAsia="宋体" w:cs="宋体"/>
          <w:sz w:val="24"/>
          <w:szCs w:val="24"/>
        </w:rPr>
      </w:pPr>
      <w:r>
        <w:rPr>
          <w:rFonts w:hint="eastAsia" w:ascii="宋体" w:hAnsi="宋体" w:eastAsia="宋体" w:cs="宋体"/>
          <w:sz w:val="24"/>
          <w:szCs w:val="24"/>
        </w:rPr>
        <w:t>1、木制件与金属件采用抽心铆钉进行铆接（连接），不允许螺钉连接。铆接前木制件与金属件的接触面应完整接触（包括椅座面的圆弧接触面）；铆接后木制件与金属件的接触面的分缝应不大于2mm。</w:t>
      </w:r>
    </w:p>
    <w:p>
      <w:pPr>
        <w:jc w:val="left"/>
        <w:rPr>
          <w:rFonts w:hint="eastAsia" w:ascii="宋体" w:hAnsi="宋体" w:eastAsia="宋体" w:cs="宋体"/>
          <w:sz w:val="24"/>
          <w:szCs w:val="24"/>
        </w:rPr>
      </w:pPr>
      <w:r>
        <w:rPr>
          <w:rFonts w:hint="eastAsia" w:ascii="宋体" w:hAnsi="宋体" w:eastAsia="宋体" w:cs="宋体"/>
          <w:sz w:val="24"/>
          <w:szCs w:val="24"/>
        </w:rPr>
        <w:t>2、抽芯铆钉钉体直径d不小于5mm，钉体材料为铝合金、钉芯材料为钢（表面镀锌），铆钉表面应无毛刺和有害缺陷，并有完整的头、杆形状。铆接加工时应按照国家标准的要求进行，桌面、椅座面和靠背面与金属管件铆接的铆钉数量均不能少于4颗，铆接后铆钉应无开裂痕迹，保证桌面、椅座面和靠背面长期使用（正常使用情况下）不脱落。</w:t>
      </w:r>
    </w:p>
    <w:p>
      <w:pPr>
        <w:jc w:val="left"/>
        <w:rPr>
          <w:rFonts w:hint="eastAsia" w:ascii="宋体" w:hAnsi="宋体" w:eastAsia="宋体" w:cs="宋体"/>
          <w:sz w:val="24"/>
          <w:szCs w:val="24"/>
        </w:rPr>
      </w:pPr>
      <w:r>
        <w:rPr>
          <w:rFonts w:hint="eastAsia" w:ascii="宋体" w:hAnsi="宋体" w:eastAsia="宋体" w:cs="宋体"/>
          <w:sz w:val="24"/>
          <w:szCs w:val="24"/>
        </w:rPr>
        <w:t>（四）课桌椅加工尺寸要求</w:t>
      </w:r>
    </w:p>
    <w:p>
      <w:pPr>
        <w:jc w:val="left"/>
        <w:rPr>
          <w:rFonts w:hint="eastAsia" w:ascii="宋体" w:hAnsi="宋体" w:eastAsia="宋体" w:cs="宋体"/>
          <w:sz w:val="24"/>
          <w:szCs w:val="24"/>
        </w:rPr>
      </w:pPr>
      <w:r>
        <w:rPr>
          <w:rFonts w:hint="eastAsia" w:ascii="宋体" w:hAnsi="宋体" w:eastAsia="宋体" w:cs="宋体"/>
          <w:sz w:val="24"/>
          <w:szCs w:val="24"/>
        </w:rPr>
        <w:t>1、桌面高、椅座面高尺寸的允许误差范围按QB/T4071-2010《课桌椅》的规定执行。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2、课桌椅的外形尺寸和其他尺寸的极限偏差、课桌椅的形状和位置公差以及试验方法按照轻工行业标准QB/T4071-2010《课桌椅》的规定执行。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（五）课桌椅的力学性能要求</w:t>
      </w:r>
    </w:p>
    <w:p>
      <w:pPr>
        <w:jc w:val="left"/>
        <w:rPr>
          <w:rFonts w:hint="eastAsia" w:ascii="宋体" w:hAnsi="宋体" w:eastAsia="宋体" w:cs="宋体"/>
          <w:sz w:val="24"/>
          <w:szCs w:val="24"/>
        </w:rPr>
      </w:pPr>
      <w:r>
        <w:rPr>
          <w:rFonts w:hint="eastAsia" w:ascii="宋体" w:hAnsi="宋体" w:eastAsia="宋体" w:cs="宋体"/>
          <w:sz w:val="24"/>
          <w:szCs w:val="24"/>
        </w:rPr>
        <w:t>课桌椅的力学性能要求按照轻工行业标准QB/T4071-2010《课桌椅》的规定执行。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五、课桌椅的涂饰要求</w:t>
      </w:r>
    </w:p>
    <w:p>
      <w:pPr>
        <w:jc w:val="left"/>
        <w:rPr>
          <w:rFonts w:hint="eastAsia" w:ascii="宋体" w:hAnsi="宋体" w:eastAsia="宋体" w:cs="宋体"/>
          <w:sz w:val="24"/>
          <w:szCs w:val="24"/>
        </w:rPr>
      </w:pPr>
      <w:r>
        <w:rPr>
          <w:rFonts w:hint="eastAsia" w:ascii="宋体" w:hAnsi="宋体" w:eastAsia="宋体" w:cs="宋体"/>
          <w:sz w:val="24"/>
          <w:szCs w:val="24"/>
        </w:rPr>
        <w:t>（一）涂饰要求</w:t>
      </w:r>
    </w:p>
    <w:p>
      <w:pPr>
        <w:jc w:val="left"/>
        <w:rPr>
          <w:rFonts w:hint="eastAsia" w:ascii="宋体" w:hAnsi="宋体" w:eastAsia="宋体" w:cs="宋体"/>
          <w:sz w:val="24"/>
          <w:szCs w:val="24"/>
        </w:rPr>
      </w:pPr>
      <w:r>
        <w:rPr>
          <w:rFonts w:hint="eastAsia" w:ascii="宋体" w:hAnsi="宋体" w:eastAsia="宋体" w:cs="宋体"/>
          <w:sz w:val="24"/>
          <w:szCs w:val="24"/>
        </w:rPr>
        <w:t>1、涂饰前课桌椅零、部件的表面应光滑、平整，不得有飞边、尖角、毛刺等可能造成机械伤害的缺陷。金属件应无开裂、脱焊、漏焊、焊渣等缺陷。</w:t>
      </w:r>
    </w:p>
    <w:p>
      <w:pPr>
        <w:jc w:val="left"/>
        <w:rPr>
          <w:rFonts w:hint="eastAsia" w:ascii="宋体" w:hAnsi="宋体" w:eastAsia="宋体" w:cs="宋体"/>
          <w:sz w:val="24"/>
          <w:szCs w:val="24"/>
        </w:rPr>
      </w:pPr>
      <w:r>
        <w:rPr>
          <w:rFonts w:hint="eastAsia" w:ascii="宋体" w:hAnsi="宋体" w:eastAsia="宋体" w:cs="宋体"/>
          <w:sz w:val="24"/>
          <w:szCs w:val="24"/>
        </w:rPr>
        <w:t>2、涂饰前金属件零、部件表面必须进行预备处理，采用除锈、防锈处理工艺，除去锈迹等其他污迹后进行涂装打底磷化处理。</w:t>
      </w:r>
    </w:p>
    <w:p>
      <w:pPr>
        <w:jc w:val="left"/>
        <w:rPr>
          <w:rFonts w:hint="eastAsia" w:ascii="宋体" w:hAnsi="宋体" w:eastAsia="宋体" w:cs="宋体"/>
          <w:sz w:val="24"/>
          <w:szCs w:val="24"/>
        </w:rPr>
      </w:pPr>
      <w:r>
        <w:rPr>
          <w:rFonts w:hint="eastAsia" w:ascii="宋体" w:hAnsi="宋体" w:eastAsia="宋体" w:cs="宋体"/>
          <w:sz w:val="24"/>
          <w:szCs w:val="24"/>
        </w:rPr>
        <w:t>3、课桌椅所有木制件的外表面（使用面）均应装饰处理；非使用面涂清漆。木制件端面应进行涂饰处理。</w:t>
      </w:r>
    </w:p>
    <w:p>
      <w:pPr>
        <w:jc w:val="left"/>
        <w:rPr>
          <w:rFonts w:hint="eastAsia" w:ascii="宋体" w:hAnsi="宋体" w:eastAsia="宋体" w:cs="宋体"/>
          <w:sz w:val="24"/>
          <w:szCs w:val="24"/>
        </w:rPr>
      </w:pPr>
      <w:r>
        <w:rPr>
          <w:rFonts w:hint="eastAsia" w:ascii="宋体" w:hAnsi="宋体" w:eastAsia="宋体" w:cs="宋体"/>
          <w:sz w:val="24"/>
          <w:szCs w:val="24"/>
        </w:rPr>
        <w:t>（二）涂饰层外观</w:t>
      </w:r>
    </w:p>
    <w:p>
      <w:pPr>
        <w:jc w:val="left"/>
        <w:rPr>
          <w:rFonts w:hint="eastAsia" w:ascii="宋体" w:hAnsi="宋体" w:eastAsia="宋体" w:cs="宋体"/>
          <w:sz w:val="24"/>
          <w:szCs w:val="24"/>
        </w:rPr>
      </w:pPr>
      <w:r>
        <w:rPr>
          <w:rFonts w:hint="eastAsia" w:ascii="宋体" w:hAnsi="宋体" w:eastAsia="宋体" w:cs="宋体"/>
          <w:sz w:val="24"/>
          <w:szCs w:val="24"/>
        </w:rPr>
        <w:t>1、课桌椅外观要求应按照轻工行业标准QB/T4071-2010《课桌椅》的规定执行。</w:t>
      </w:r>
    </w:p>
    <w:p>
      <w:pPr>
        <w:jc w:val="left"/>
        <w:rPr>
          <w:rFonts w:hint="eastAsia" w:ascii="宋体" w:hAnsi="宋体" w:eastAsia="宋体" w:cs="宋体"/>
          <w:sz w:val="24"/>
          <w:szCs w:val="24"/>
        </w:rPr>
      </w:pPr>
      <w:r>
        <w:rPr>
          <w:rFonts w:hint="eastAsia" w:ascii="宋体" w:hAnsi="宋体" w:eastAsia="宋体" w:cs="宋体"/>
          <w:sz w:val="24"/>
          <w:szCs w:val="24"/>
        </w:rPr>
        <w:t>2、产品上的五金配件应符合GB/T3325-2017《金属家具通用技术条件》的规定执行。</w:t>
      </w:r>
    </w:p>
    <w:p>
      <w:pPr>
        <w:jc w:val="left"/>
        <w:rPr>
          <w:rFonts w:hint="eastAsia" w:ascii="宋体" w:hAnsi="宋体" w:eastAsia="宋体" w:cs="宋体"/>
          <w:sz w:val="24"/>
          <w:szCs w:val="24"/>
        </w:rPr>
      </w:pPr>
      <w:r>
        <w:rPr>
          <w:rFonts w:hint="eastAsia" w:ascii="宋体" w:hAnsi="宋体" w:eastAsia="宋体" w:cs="宋体"/>
          <w:sz w:val="24"/>
          <w:szCs w:val="24"/>
        </w:rPr>
        <w:t>（三）表面理化性能</w:t>
      </w:r>
    </w:p>
    <w:p>
      <w:pPr>
        <w:jc w:val="left"/>
        <w:rPr>
          <w:rFonts w:hint="eastAsia" w:ascii="宋体" w:hAnsi="宋体" w:eastAsia="宋体" w:cs="宋体"/>
          <w:sz w:val="24"/>
          <w:szCs w:val="24"/>
        </w:rPr>
      </w:pPr>
      <w:r>
        <w:rPr>
          <w:rFonts w:hint="eastAsia" w:ascii="宋体" w:hAnsi="宋体" w:eastAsia="宋体" w:cs="宋体"/>
          <w:sz w:val="24"/>
          <w:szCs w:val="24"/>
        </w:rPr>
        <w:t>产品表面理化性能要求按照轻工行业标准QB/T4071-2010《课桌椅》的规定执行。</w:t>
      </w:r>
    </w:p>
    <w:p>
      <w:pPr>
        <w:numPr>
          <w:ilvl w:val="0"/>
          <w:numId w:val="0"/>
        </w:numPr>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5597"/>
        </w:tabs>
        <w:bidi w:val="0"/>
        <w:jc w:val="left"/>
        <w:rPr>
          <w:rFonts w:hint="eastAsia" w:ascii="宋体" w:hAnsi="宋体" w:eastAsia="宋体" w:cs="宋体"/>
          <w:sz w:val="24"/>
          <w:szCs w:val="24"/>
          <w:lang w:val="en-US" w:eastAsia="zh-CN"/>
        </w:rPr>
      </w:pPr>
      <w:r>
        <w:rPr>
          <w:rFonts w:hint="eastAsia"/>
          <w:lang w:val="en-US" w:eastAsia="zh-CN"/>
        </w:rPr>
        <w:tab/>
      </w:r>
      <w:r>
        <w:rPr>
          <w:rFonts w:hint="eastAsia" w:ascii="宋体" w:hAnsi="宋体" w:eastAsia="宋体" w:cs="宋体"/>
          <w:sz w:val="24"/>
          <w:szCs w:val="24"/>
          <w:lang w:val="en-US" w:eastAsia="zh-CN"/>
        </w:rPr>
        <w:t>云浮市田家炳学校</w:t>
      </w:r>
    </w:p>
    <w:p>
      <w:pPr>
        <w:pStyle w:val="2"/>
        <w:rPr>
          <w:rFonts w:hint="eastAsia" w:ascii="宋体" w:hAnsi="宋体" w:eastAsia="宋体" w:cs="宋体"/>
          <w:b w:val="0"/>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val="0"/>
          <w:bCs/>
          <w:sz w:val="24"/>
          <w:szCs w:val="24"/>
          <w:lang w:val="en-US" w:eastAsia="zh-CN"/>
        </w:rPr>
        <w:t xml:space="preserve">  2021年8月9日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121B5"/>
    <w:rsid w:val="283F0C55"/>
    <w:rsid w:val="40B85592"/>
    <w:rsid w:val="5F4A6D9A"/>
    <w:rsid w:val="6A21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9"/>
    <w:pPr>
      <w:keepNext/>
      <w:spacing w:line="360" w:lineRule="exact"/>
      <w:outlineLvl w:val="3"/>
    </w:pPr>
    <w:rPr>
      <w:rFonts w:ascii="Times New Roman" w:hAnsi="Times New Roman" w:eastAsia="黑体"/>
      <w:b/>
      <w:spacing w:val="-10"/>
      <w:kern w:val="0"/>
      <w:sz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2021-08-09T06:03:00Z</dcterms:created>
  <dc:creator>咏莲</dc:creator>
  <cp:lastModifiedBy>易荣华</cp:lastModifiedBy>
  <dcterms:modified xsi:type="dcterms:W3CDTF">2021-08-10T01:50:54Z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0E45AE3E61364692882E0BD3DA074ED8</vt:lpwstr>
  </property>
</Properties>
</file>